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8FC5E" w14:textId="0E81B23E" w:rsidR="00B90C0C" w:rsidRDefault="00B90C0C" w:rsidP="00B90C0C">
      <w:pPr>
        <w:jc w:val="center"/>
      </w:pPr>
      <w:r>
        <w:rPr>
          <w:noProof/>
        </w:rPr>
        <w:drawing>
          <wp:inline distT="0" distB="0" distL="0" distR="0" wp14:anchorId="209FB783" wp14:editId="3C21642A">
            <wp:extent cx="1990898" cy="843742"/>
            <wp:effectExtent l="0" t="0" r="0" b="0"/>
            <wp:docPr id="1" name="Image 1" descr="Logo de l'Université de Li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Logo de l'Université de Lille."/>
                    <pic:cNvPicPr/>
                  </pic:nvPicPr>
                  <pic:blipFill>
                    <a:blip r:embed="rId8">
                      <a:extLst>
                        <a:ext uri="{28A0092B-C50C-407E-A947-70E740481C1C}">
                          <a14:useLocalDpi xmlns:a14="http://schemas.microsoft.com/office/drawing/2010/main" val="0"/>
                        </a:ext>
                      </a:extLst>
                    </a:blip>
                    <a:stretch>
                      <a:fillRect/>
                    </a:stretch>
                  </pic:blipFill>
                  <pic:spPr>
                    <a:xfrm>
                      <a:off x="0" y="0"/>
                      <a:ext cx="1990898" cy="843742"/>
                    </a:xfrm>
                    <a:prstGeom prst="rect">
                      <a:avLst/>
                    </a:prstGeom>
                  </pic:spPr>
                </pic:pic>
              </a:graphicData>
            </a:graphic>
          </wp:inline>
        </w:drawing>
      </w:r>
    </w:p>
    <w:p w14:paraId="03BC8254" w14:textId="4B69B607" w:rsidR="00E85C0F" w:rsidRDefault="00C02AAC" w:rsidP="00BC7FD7">
      <w:pPr>
        <w:pStyle w:val="Titre"/>
        <w:spacing w:before="3240" w:after="119"/>
      </w:pPr>
      <w:r>
        <w:t>Schéma pluriannuel d'accessibilité numérique (SPAN)</w:t>
      </w:r>
    </w:p>
    <w:p w14:paraId="71E07C7F" w14:textId="77777777" w:rsidR="00E85C0F" w:rsidRDefault="00C02AAC">
      <w:pPr>
        <w:pStyle w:val="Sous-titre"/>
        <w:spacing w:before="62" w:after="119"/>
      </w:pPr>
      <w:r>
        <w:t>2026 – 2028</w:t>
      </w:r>
    </w:p>
    <w:p w14:paraId="4C1505E1" w14:textId="47A21DFA" w:rsidR="00E85C0F" w:rsidRDefault="00C02AAC">
      <w:pPr>
        <w:pStyle w:val="Sous-titre"/>
        <w:spacing w:before="62" w:after="119"/>
      </w:pPr>
      <w:r>
        <w:rPr>
          <w:sz w:val="26"/>
          <w:szCs w:val="26"/>
        </w:rPr>
        <w:t>Université de Lille</w:t>
      </w:r>
      <w:r>
        <w:rPr>
          <w:sz w:val="18"/>
          <w:szCs w:val="18"/>
        </w:rPr>
        <w:t xml:space="preserve"> </w:t>
      </w:r>
      <w:r>
        <w:rPr>
          <w:sz w:val="18"/>
          <w:szCs w:val="18"/>
        </w:rPr>
        <w:br/>
      </w:r>
      <w:r>
        <w:rPr>
          <w:sz w:val="18"/>
          <w:szCs w:val="18"/>
        </w:rPr>
        <w:br/>
      </w:r>
      <w:r w:rsidR="00EB567F">
        <w:rPr>
          <w:sz w:val="18"/>
          <w:szCs w:val="18"/>
        </w:rPr>
        <w:t>Approuvé lors du Conseil d’Administration (CA) du 23</w:t>
      </w:r>
      <w:r w:rsidR="00947DBE">
        <w:rPr>
          <w:sz w:val="18"/>
          <w:szCs w:val="18"/>
        </w:rPr>
        <w:t xml:space="preserve"> </w:t>
      </w:r>
      <w:r w:rsidR="00EB567F">
        <w:rPr>
          <w:sz w:val="18"/>
          <w:szCs w:val="18"/>
        </w:rPr>
        <w:t>octobre 2025</w:t>
      </w:r>
    </w:p>
    <w:p w14:paraId="5D8F5863" w14:textId="77777777" w:rsidR="00E85C0F" w:rsidRDefault="00C02AAC">
      <w:pPr>
        <w:pStyle w:val="Corpsdetexte"/>
        <w:spacing w:before="62" w:after="119"/>
        <w:jc w:val="center"/>
        <w:rPr>
          <w:sz w:val="18"/>
          <w:szCs w:val="18"/>
        </w:rPr>
      </w:pPr>
      <w:r>
        <w:rPr>
          <w:sz w:val="18"/>
          <w:szCs w:val="18"/>
        </w:rPr>
        <w:t>Direction Générale Déléguée au Numérique (</w:t>
      </w:r>
      <w:proofErr w:type="spellStart"/>
      <w:r>
        <w:rPr>
          <w:sz w:val="18"/>
          <w:szCs w:val="18"/>
        </w:rPr>
        <w:t>DGDNUM</w:t>
      </w:r>
      <w:proofErr w:type="spellEnd"/>
      <w:r>
        <w:rPr>
          <w:sz w:val="18"/>
          <w:szCs w:val="18"/>
        </w:rPr>
        <w:t>)</w:t>
      </w:r>
      <w:r>
        <w:rPr>
          <w:sz w:val="18"/>
          <w:szCs w:val="18"/>
        </w:rPr>
        <w:br/>
        <w:t>Service développement accompagnement web, accessibilité, multimédia (</w:t>
      </w:r>
      <w:proofErr w:type="spellStart"/>
      <w:r>
        <w:rPr>
          <w:sz w:val="18"/>
          <w:szCs w:val="18"/>
        </w:rPr>
        <w:t>DAWAM</w:t>
      </w:r>
      <w:proofErr w:type="spellEnd"/>
      <w:r>
        <w:rPr>
          <w:sz w:val="18"/>
          <w:szCs w:val="18"/>
        </w:rPr>
        <w:t>)</w:t>
      </w:r>
    </w:p>
    <w:p w14:paraId="5F3EAB06" w14:textId="77777777" w:rsidR="00E85C0F" w:rsidRDefault="00C02AAC">
      <w:pPr>
        <w:pStyle w:val="Corpsdetexte"/>
        <w:spacing w:before="62" w:after="119"/>
        <w:jc w:val="center"/>
      </w:pPr>
      <w:r>
        <w:rPr>
          <w:sz w:val="18"/>
          <w:szCs w:val="18"/>
        </w:rPr>
        <w:t xml:space="preserve">Nicolas </w:t>
      </w:r>
      <w:proofErr w:type="spellStart"/>
      <w:r>
        <w:rPr>
          <w:sz w:val="18"/>
          <w:szCs w:val="18"/>
        </w:rPr>
        <w:t>Lahoche</w:t>
      </w:r>
      <w:proofErr w:type="spellEnd"/>
      <w:r>
        <w:rPr>
          <w:sz w:val="18"/>
          <w:szCs w:val="18"/>
        </w:rPr>
        <w:t xml:space="preserve"> – Laurence Vlieghe</w:t>
      </w:r>
    </w:p>
    <w:p w14:paraId="0233F5F3" w14:textId="77777777" w:rsidR="00E85C0F" w:rsidRDefault="00C02AAC">
      <w:pPr>
        <w:jc w:val="right"/>
        <w:rPr>
          <w:sz w:val="18"/>
          <w:szCs w:val="18"/>
        </w:rPr>
      </w:pPr>
      <w:r>
        <w:br w:type="page"/>
      </w:r>
    </w:p>
    <w:sdt>
      <w:sdtPr>
        <w:rPr>
          <w:b w:val="0"/>
          <w:bCs w:val="0"/>
          <w:sz w:val="22"/>
          <w:szCs w:val="24"/>
        </w:rPr>
        <w:id w:val="2011480926"/>
        <w:docPartObj>
          <w:docPartGallery w:val="Table of Contents"/>
          <w:docPartUnique/>
        </w:docPartObj>
      </w:sdtPr>
      <w:sdtEndPr/>
      <w:sdtContent>
        <w:p w14:paraId="52B7A963" w14:textId="4BBD65AD" w:rsidR="002F7F4F" w:rsidRDefault="002F7F4F">
          <w:pPr>
            <w:pStyle w:val="En-ttedetabledesmatires"/>
          </w:pPr>
          <w:r>
            <w:t>Table des matières</w:t>
          </w:r>
        </w:p>
        <w:p w14:paraId="4F7F9E04" w14:textId="681310FD" w:rsidR="002F7F4F" w:rsidRDefault="002F7F4F">
          <w:pPr>
            <w:pStyle w:val="TM1"/>
            <w:tabs>
              <w:tab w:val="left" w:pos="440"/>
              <w:tab w:val="right" w:leader="dot" w:pos="9628"/>
            </w:tabs>
            <w:rPr>
              <w:rFonts w:eastAsiaTheme="minorEastAsia" w:cstheme="minorBidi"/>
              <w:b w:val="0"/>
              <w:bCs w:val="0"/>
              <w:caps w:val="0"/>
              <w:noProof/>
              <w:kern w:val="0"/>
              <w:sz w:val="22"/>
              <w:szCs w:val="22"/>
              <w:lang w:eastAsia="fr-FR" w:bidi="ar-SA"/>
            </w:rPr>
          </w:pPr>
          <w:r>
            <w:fldChar w:fldCharType="begin"/>
          </w:r>
          <w:r>
            <w:instrText xml:space="preserve"> TOC \o "1-3" \h \z \u </w:instrText>
          </w:r>
          <w:r>
            <w:fldChar w:fldCharType="separate"/>
          </w:r>
          <w:hyperlink w:anchor="_Toc214462468" w:history="1">
            <w:r w:rsidRPr="00A54596">
              <w:rPr>
                <w:rStyle w:val="Lienhypertexte"/>
                <w:noProof/>
              </w:rPr>
              <w:t>I.</w:t>
            </w:r>
            <w:r>
              <w:rPr>
                <w:rFonts w:eastAsiaTheme="minorEastAsia" w:cstheme="minorBidi"/>
                <w:b w:val="0"/>
                <w:bCs w:val="0"/>
                <w:caps w:val="0"/>
                <w:noProof/>
                <w:kern w:val="0"/>
                <w:sz w:val="22"/>
                <w:szCs w:val="22"/>
                <w:lang w:eastAsia="fr-FR" w:bidi="ar-SA"/>
              </w:rPr>
              <w:tab/>
            </w:r>
            <w:r w:rsidRPr="00A54596">
              <w:rPr>
                <w:rStyle w:val="Lienhypertexte"/>
                <w:noProof/>
              </w:rPr>
              <w:t>Introduction</w:t>
            </w:r>
            <w:r>
              <w:rPr>
                <w:noProof/>
                <w:webHidden/>
              </w:rPr>
              <w:tab/>
            </w:r>
            <w:r>
              <w:rPr>
                <w:noProof/>
                <w:webHidden/>
              </w:rPr>
              <w:fldChar w:fldCharType="begin"/>
            </w:r>
            <w:r>
              <w:rPr>
                <w:noProof/>
                <w:webHidden/>
              </w:rPr>
              <w:instrText xml:space="preserve"> PAGEREF _Toc214462468 \h </w:instrText>
            </w:r>
            <w:r>
              <w:rPr>
                <w:noProof/>
                <w:webHidden/>
              </w:rPr>
            </w:r>
            <w:r>
              <w:rPr>
                <w:noProof/>
                <w:webHidden/>
              </w:rPr>
              <w:fldChar w:fldCharType="separate"/>
            </w:r>
            <w:r>
              <w:rPr>
                <w:noProof/>
                <w:webHidden/>
              </w:rPr>
              <w:t>3</w:t>
            </w:r>
            <w:r>
              <w:rPr>
                <w:noProof/>
                <w:webHidden/>
              </w:rPr>
              <w:fldChar w:fldCharType="end"/>
            </w:r>
          </w:hyperlink>
        </w:p>
        <w:p w14:paraId="6DDDD671" w14:textId="446743F7" w:rsidR="002F7F4F" w:rsidRDefault="00852BAA">
          <w:pPr>
            <w:pStyle w:val="TM2"/>
            <w:tabs>
              <w:tab w:val="left" w:pos="880"/>
              <w:tab w:val="right" w:leader="dot" w:pos="9628"/>
            </w:tabs>
            <w:rPr>
              <w:rFonts w:eastAsiaTheme="minorEastAsia" w:cstheme="minorBidi"/>
              <w:smallCaps w:val="0"/>
              <w:noProof/>
              <w:kern w:val="0"/>
              <w:sz w:val="22"/>
              <w:szCs w:val="22"/>
              <w:lang w:eastAsia="fr-FR" w:bidi="ar-SA"/>
            </w:rPr>
          </w:pPr>
          <w:hyperlink w:anchor="_Toc214462469" w:history="1">
            <w:r w:rsidR="002F7F4F" w:rsidRPr="00A54596">
              <w:rPr>
                <w:rStyle w:val="Lienhypertexte"/>
                <w:noProof/>
              </w:rPr>
              <w:t>I.1 -</w:t>
            </w:r>
            <w:r w:rsidR="002F7F4F">
              <w:rPr>
                <w:rFonts w:eastAsiaTheme="minorEastAsia" w:cstheme="minorBidi"/>
                <w:smallCaps w:val="0"/>
                <w:noProof/>
                <w:kern w:val="0"/>
                <w:sz w:val="22"/>
                <w:szCs w:val="22"/>
                <w:lang w:eastAsia="fr-FR" w:bidi="ar-SA"/>
              </w:rPr>
              <w:tab/>
            </w:r>
            <w:r w:rsidR="002F7F4F" w:rsidRPr="00A54596">
              <w:rPr>
                <w:rStyle w:val="Lienhypertexte"/>
                <w:noProof/>
              </w:rPr>
              <w:t>Qu’est-ce que l’accessibilité numérique ?</w:t>
            </w:r>
            <w:r w:rsidR="002F7F4F">
              <w:rPr>
                <w:noProof/>
                <w:webHidden/>
              </w:rPr>
              <w:tab/>
            </w:r>
            <w:r w:rsidR="002F7F4F">
              <w:rPr>
                <w:noProof/>
                <w:webHidden/>
              </w:rPr>
              <w:fldChar w:fldCharType="begin"/>
            </w:r>
            <w:r w:rsidR="002F7F4F">
              <w:rPr>
                <w:noProof/>
                <w:webHidden/>
              </w:rPr>
              <w:instrText xml:space="preserve"> PAGEREF _Toc214462469 \h </w:instrText>
            </w:r>
            <w:r w:rsidR="002F7F4F">
              <w:rPr>
                <w:noProof/>
                <w:webHidden/>
              </w:rPr>
            </w:r>
            <w:r w:rsidR="002F7F4F">
              <w:rPr>
                <w:noProof/>
                <w:webHidden/>
              </w:rPr>
              <w:fldChar w:fldCharType="separate"/>
            </w:r>
            <w:r w:rsidR="002F7F4F">
              <w:rPr>
                <w:noProof/>
                <w:webHidden/>
              </w:rPr>
              <w:t>3</w:t>
            </w:r>
            <w:r w:rsidR="002F7F4F">
              <w:rPr>
                <w:noProof/>
                <w:webHidden/>
              </w:rPr>
              <w:fldChar w:fldCharType="end"/>
            </w:r>
          </w:hyperlink>
        </w:p>
        <w:p w14:paraId="7278A8D4" w14:textId="5416BA00" w:rsidR="002F7F4F" w:rsidRDefault="00852BAA">
          <w:pPr>
            <w:pStyle w:val="TM2"/>
            <w:tabs>
              <w:tab w:val="left" w:pos="880"/>
              <w:tab w:val="right" w:leader="dot" w:pos="9628"/>
            </w:tabs>
            <w:rPr>
              <w:rFonts w:eastAsiaTheme="minorEastAsia" w:cstheme="minorBidi"/>
              <w:smallCaps w:val="0"/>
              <w:noProof/>
              <w:kern w:val="0"/>
              <w:sz w:val="22"/>
              <w:szCs w:val="22"/>
              <w:lang w:eastAsia="fr-FR" w:bidi="ar-SA"/>
            </w:rPr>
          </w:pPr>
          <w:hyperlink w:anchor="_Toc214462470" w:history="1">
            <w:r w:rsidR="002F7F4F" w:rsidRPr="00A54596">
              <w:rPr>
                <w:rStyle w:val="Lienhypertexte"/>
                <w:noProof/>
              </w:rPr>
              <w:t>I.2 -</w:t>
            </w:r>
            <w:r w:rsidR="002F7F4F">
              <w:rPr>
                <w:rFonts w:eastAsiaTheme="minorEastAsia" w:cstheme="minorBidi"/>
                <w:smallCaps w:val="0"/>
                <w:noProof/>
                <w:kern w:val="0"/>
                <w:sz w:val="22"/>
                <w:szCs w:val="22"/>
                <w:lang w:eastAsia="fr-FR" w:bidi="ar-SA"/>
              </w:rPr>
              <w:tab/>
            </w:r>
            <w:r w:rsidR="002F7F4F" w:rsidRPr="00A54596">
              <w:rPr>
                <w:rStyle w:val="Lienhypertexte"/>
                <w:noProof/>
              </w:rPr>
              <w:t>Cadre légal</w:t>
            </w:r>
            <w:r w:rsidR="002F7F4F">
              <w:rPr>
                <w:noProof/>
                <w:webHidden/>
              </w:rPr>
              <w:tab/>
            </w:r>
            <w:r w:rsidR="002F7F4F">
              <w:rPr>
                <w:noProof/>
                <w:webHidden/>
              </w:rPr>
              <w:fldChar w:fldCharType="begin"/>
            </w:r>
            <w:r w:rsidR="002F7F4F">
              <w:rPr>
                <w:noProof/>
                <w:webHidden/>
              </w:rPr>
              <w:instrText xml:space="preserve"> PAGEREF _Toc214462470 \h </w:instrText>
            </w:r>
            <w:r w:rsidR="002F7F4F">
              <w:rPr>
                <w:noProof/>
                <w:webHidden/>
              </w:rPr>
            </w:r>
            <w:r w:rsidR="002F7F4F">
              <w:rPr>
                <w:noProof/>
                <w:webHidden/>
              </w:rPr>
              <w:fldChar w:fldCharType="separate"/>
            </w:r>
            <w:r w:rsidR="002F7F4F">
              <w:rPr>
                <w:noProof/>
                <w:webHidden/>
              </w:rPr>
              <w:t>3</w:t>
            </w:r>
            <w:r w:rsidR="002F7F4F">
              <w:rPr>
                <w:noProof/>
                <w:webHidden/>
              </w:rPr>
              <w:fldChar w:fldCharType="end"/>
            </w:r>
          </w:hyperlink>
        </w:p>
        <w:p w14:paraId="19F1CFEB" w14:textId="6B06DF77" w:rsidR="002F7F4F" w:rsidRDefault="00852BAA">
          <w:pPr>
            <w:pStyle w:val="TM2"/>
            <w:tabs>
              <w:tab w:val="left" w:pos="880"/>
              <w:tab w:val="right" w:leader="dot" w:pos="9628"/>
            </w:tabs>
            <w:rPr>
              <w:rFonts w:eastAsiaTheme="minorEastAsia" w:cstheme="minorBidi"/>
              <w:smallCaps w:val="0"/>
              <w:noProof/>
              <w:kern w:val="0"/>
              <w:sz w:val="22"/>
              <w:szCs w:val="22"/>
              <w:lang w:eastAsia="fr-FR" w:bidi="ar-SA"/>
            </w:rPr>
          </w:pPr>
          <w:hyperlink w:anchor="_Toc214462471" w:history="1">
            <w:r w:rsidR="002F7F4F" w:rsidRPr="00A54596">
              <w:rPr>
                <w:rStyle w:val="Lienhypertexte"/>
                <w:noProof/>
              </w:rPr>
              <w:t>I.3 -</w:t>
            </w:r>
            <w:r w:rsidR="002F7F4F">
              <w:rPr>
                <w:rFonts w:eastAsiaTheme="minorEastAsia" w:cstheme="minorBidi"/>
                <w:smallCaps w:val="0"/>
                <w:noProof/>
                <w:kern w:val="0"/>
                <w:sz w:val="22"/>
                <w:szCs w:val="22"/>
                <w:lang w:eastAsia="fr-FR" w:bidi="ar-SA"/>
              </w:rPr>
              <w:tab/>
            </w:r>
            <w:r w:rsidR="002F7F4F" w:rsidRPr="00A54596">
              <w:rPr>
                <w:rStyle w:val="Lienhypertexte"/>
                <w:noProof/>
              </w:rPr>
              <w:t>Contexte</w:t>
            </w:r>
            <w:r w:rsidR="002F7F4F">
              <w:rPr>
                <w:noProof/>
                <w:webHidden/>
              </w:rPr>
              <w:tab/>
            </w:r>
            <w:r w:rsidR="002F7F4F">
              <w:rPr>
                <w:noProof/>
                <w:webHidden/>
              </w:rPr>
              <w:fldChar w:fldCharType="begin"/>
            </w:r>
            <w:r w:rsidR="002F7F4F">
              <w:rPr>
                <w:noProof/>
                <w:webHidden/>
              </w:rPr>
              <w:instrText xml:space="preserve"> PAGEREF _Toc214462471 \h </w:instrText>
            </w:r>
            <w:r w:rsidR="002F7F4F">
              <w:rPr>
                <w:noProof/>
                <w:webHidden/>
              </w:rPr>
            </w:r>
            <w:r w:rsidR="002F7F4F">
              <w:rPr>
                <w:noProof/>
                <w:webHidden/>
              </w:rPr>
              <w:fldChar w:fldCharType="separate"/>
            </w:r>
            <w:r w:rsidR="002F7F4F">
              <w:rPr>
                <w:noProof/>
                <w:webHidden/>
              </w:rPr>
              <w:t>4</w:t>
            </w:r>
            <w:r w:rsidR="002F7F4F">
              <w:rPr>
                <w:noProof/>
                <w:webHidden/>
              </w:rPr>
              <w:fldChar w:fldCharType="end"/>
            </w:r>
          </w:hyperlink>
        </w:p>
        <w:p w14:paraId="6CC22A6F" w14:textId="00ACDD7A" w:rsidR="002F7F4F" w:rsidRDefault="00852BAA">
          <w:pPr>
            <w:pStyle w:val="TM2"/>
            <w:tabs>
              <w:tab w:val="left" w:pos="880"/>
              <w:tab w:val="right" w:leader="dot" w:pos="9628"/>
            </w:tabs>
            <w:rPr>
              <w:rFonts w:eastAsiaTheme="minorEastAsia" w:cstheme="minorBidi"/>
              <w:smallCaps w:val="0"/>
              <w:noProof/>
              <w:kern w:val="0"/>
              <w:sz w:val="22"/>
              <w:szCs w:val="22"/>
              <w:lang w:eastAsia="fr-FR" w:bidi="ar-SA"/>
            </w:rPr>
          </w:pPr>
          <w:hyperlink w:anchor="_Toc214462472" w:history="1">
            <w:r w:rsidR="002F7F4F" w:rsidRPr="00A54596">
              <w:rPr>
                <w:rStyle w:val="Lienhypertexte"/>
                <w:noProof/>
              </w:rPr>
              <w:t>I.4 -</w:t>
            </w:r>
            <w:r w:rsidR="002F7F4F">
              <w:rPr>
                <w:rFonts w:eastAsiaTheme="minorEastAsia" w:cstheme="minorBidi"/>
                <w:smallCaps w:val="0"/>
                <w:noProof/>
                <w:kern w:val="0"/>
                <w:sz w:val="22"/>
                <w:szCs w:val="22"/>
                <w:lang w:eastAsia="fr-FR" w:bidi="ar-SA"/>
              </w:rPr>
              <w:tab/>
            </w:r>
            <w:r w:rsidR="002F7F4F" w:rsidRPr="00A54596">
              <w:rPr>
                <w:rStyle w:val="Lienhypertexte"/>
                <w:noProof/>
              </w:rPr>
              <w:t>État des lieux</w:t>
            </w:r>
            <w:r w:rsidR="002F7F4F">
              <w:rPr>
                <w:noProof/>
                <w:webHidden/>
              </w:rPr>
              <w:tab/>
            </w:r>
            <w:r w:rsidR="002F7F4F">
              <w:rPr>
                <w:noProof/>
                <w:webHidden/>
              </w:rPr>
              <w:fldChar w:fldCharType="begin"/>
            </w:r>
            <w:r w:rsidR="002F7F4F">
              <w:rPr>
                <w:noProof/>
                <w:webHidden/>
              </w:rPr>
              <w:instrText xml:space="preserve"> PAGEREF _Toc214462472 \h </w:instrText>
            </w:r>
            <w:r w:rsidR="002F7F4F">
              <w:rPr>
                <w:noProof/>
                <w:webHidden/>
              </w:rPr>
            </w:r>
            <w:r w:rsidR="002F7F4F">
              <w:rPr>
                <w:noProof/>
                <w:webHidden/>
              </w:rPr>
              <w:fldChar w:fldCharType="separate"/>
            </w:r>
            <w:r w:rsidR="002F7F4F">
              <w:rPr>
                <w:noProof/>
                <w:webHidden/>
              </w:rPr>
              <w:t>4</w:t>
            </w:r>
            <w:r w:rsidR="002F7F4F">
              <w:rPr>
                <w:noProof/>
                <w:webHidden/>
              </w:rPr>
              <w:fldChar w:fldCharType="end"/>
            </w:r>
          </w:hyperlink>
        </w:p>
        <w:p w14:paraId="6FE2C9C6" w14:textId="19BF0134" w:rsidR="002F7F4F" w:rsidRDefault="00852BAA">
          <w:pPr>
            <w:pStyle w:val="TM1"/>
            <w:tabs>
              <w:tab w:val="left" w:pos="440"/>
              <w:tab w:val="right" w:leader="dot" w:pos="9628"/>
            </w:tabs>
            <w:rPr>
              <w:rFonts w:eastAsiaTheme="minorEastAsia" w:cstheme="minorBidi"/>
              <w:b w:val="0"/>
              <w:bCs w:val="0"/>
              <w:caps w:val="0"/>
              <w:noProof/>
              <w:kern w:val="0"/>
              <w:sz w:val="22"/>
              <w:szCs w:val="22"/>
              <w:lang w:eastAsia="fr-FR" w:bidi="ar-SA"/>
            </w:rPr>
          </w:pPr>
          <w:hyperlink w:anchor="_Toc214462473" w:history="1">
            <w:r w:rsidR="002F7F4F" w:rsidRPr="00A54596">
              <w:rPr>
                <w:rStyle w:val="Lienhypertexte"/>
                <w:noProof/>
              </w:rPr>
              <w:t>II.</w:t>
            </w:r>
            <w:r w:rsidR="002F7F4F">
              <w:rPr>
                <w:rFonts w:eastAsiaTheme="minorEastAsia" w:cstheme="minorBidi"/>
                <w:b w:val="0"/>
                <w:bCs w:val="0"/>
                <w:caps w:val="0"/>
                <w:noProof/>
                <w:kern w:val="0"/>
                <w:sz w:val="22"/>
                <w:szCs w:val="22"/>
                <w:lang w:eastAsia="fr-FR" w:bidi="ar-SA"/>
              </w:rPr>
              <w:tab/>
            </w:r>
            <w:r w:rsidR="002F7F4F" w:rsidRPr="00A54596">
              <w:rPr>
                <w:rStyle w:val="Lienhypertexte"/>
                <w:noProof/>
              </w:rPr>
              <w:t>Politique d’accessibilité numérique</w:t>
            </w:r>
            <w:r w:rsidR="002F7F4F">
              <w:rPr>
                <w:noProof/>
                <w:webHidden/>
              </w:rPr>
              <w:tab/>
            </w:r>
            <w:r w:rsidR="002F7F4F">
              <w:rPr>
                <w:noProof/>
                <w:webHidden/>
              </w:rPr>
              <w:fldChar w:fldCharType="begin"/>
            </w:r>
            <w:r w:rsidR="002F7F4F">
              <w:rPr>
                <w:noProof/>
                <w:webHidden/>
              </w:rPr>
              <w:instrText xml:space="preserve"> PAGEREF _Toc214462473 \h </w:instrText>
            </w:r>
            <w:r w:rsidR="002F7F4F">
              <w:rPr>
                <w:noProof/>
                <w:webHidden/>
              </w:rPr>
            </w:r>
            <w:r w:rsidR="002F7F4F">
              <w:rPr>
                <w:noProof/>
                <w:webHidden/>
              </w:rPr>
              <w:fldChar w:fldCharType="separate"/>
            </w:r>
            <w:r w:rsidR="002F7F4F">
              <w:rPr>
                <w:noProof/>
                <w:webHidden/>
              </w:rPr>
              <w:t>4</w:t>
            </w:r>
            <w:r w:rsidR="002F7F4F">
              <w:rPr>
                <w:noProof/>
                <w:webHidden/>
              </w:rPr>
              <w:fldChar w:fldCharType="end"/>
            </w:r>
          </w:hyperlink>
        </w:p>
        <w:p w14:paraId="6A63AF08" w14:textId="75CF7789" w:rsidR="002F7F4F" w:rsidRDefault="00852BAA">
          <w:pPr>
            <w:pStyle w:val="TM2"/>
            <w:tabs>
              <w:tab w:val="left" w:pos="880"/>
              <w:tab w:val="right" w:leader="dot" w:pos="9628"/>
            </w:tabs>
            <w:rPr>
              <w:rFonts w:eastAsiaTheme="minorEastAsia" w:cstheme="minorBidi"/>
              <w:smallCaps w:val="0"/>
              <w:noProof/>
              <w:kern w:val="0"/>
              <w:sz w:val="22"/>
              <w:szCs w:val="22"/>
              <w:lang w:eastAsia="fr-FR" w:bidi="ar-SA"/>
            </w:rPr>
          </w:pPr>
          <w:hyperlink w:anchor="_Toc214462474" w:history="1">
            <w:r w:rsidR="002F7F4F" w:rsidRPr="00A54596">
              <w:rPr>
                <w:rStyle w:val="Lienhypertexte"/>
                <w:noProof/>
              </w:rPr>
              <w:t>II.1 -</w:t>
            </w:r>
            <w:r w:rsidR="002F7F4F">
              <w:rPr>
                <w:rFonts w:eastAsiaTheme="minorEastAsia" w:cstheme="minorBidi"/>
                <w:smallCaps w:val="0"/>
                <w:noProof/>
                <w:kern w:val="0"/>
                <w:sz w:val="22"/>
                <w:szCs w:val="22"/>
                <w:lang w:eastAsia="fr-FR" w:bidi="ar-SA"/>
              </w:rPr>
              <w:tab/>
            </w:r>
            <w:r w:rsidR="002F7F4F" w:rsidRPr="00A54596">
              <w:rPr>
                <w:rStyle w:val="Lienhypertexte"/>
                <w:noProof/>
              </w:rPr>
              <w:t>Ambitions</w:t>
            </w:r>
            <w:r w:rsidR="002F7F4F">
              <w:rPr>
                <w:noProof/>
                <w:webHidden/>
              </w:rPr>
              <w:tab/>
            </w:r>
            <w:r w:rsidR="002F7F4F">
              <w:rPr>
                <w:noProof/>
                <w:webHidden/>
              </w:rPr>
              <w:fldChar w:fldCharType="begin"/>
            </w:r>
            <w:r w:rsidR="002F7F4F">
              <w:rPr>
                <w:noProof/>
                <w:webHidden/>
              </w:rPr>
              <w:instrText xml:space="preserve"> PAGEREF _Toc214462474 \h </w:instrText>
            </w:r>
            <w:r w:rsidR="002F7F4F">
              <w:rPr>
                <w:noProof/>
                <w:webHidden/>
              </w:rPr>
            </w:r>
            <w:r w:rsidR="002F7F4F">
              <w:rPr>
                <w:noProof/>
                <w:webHidden/>
              </w:rPr>
              <w:fldChar w:fldCharType="separate"/>
            </w:r>
            <w:r w:rsidR="002F7F4F">
              <w:rPr>
                <w:noProof/>
                <w:webHidden/>
              </w:rPr>
              <w:t>4</w:t>
            </w:r>
            <w:r w:rsidR="002F7F4F">
              <w:rPr>
                <w:noProof/>
                <w:webHidden/>
              </w:rPr>
              <w:fldChar w:fldCharType="end"/>
            </w:r>
          </w:hyperlink>
        </w:p>
        <w:p w14:paraId="0D3EBAB9" w14:textId="60DC8239" w:rsidR="002F7F4F" w:rsidRDefault="00852BAA">
          <w:pPr>
            <w:pStyle w:val="TM2"/>
            <w:tabs>
              <w:tab w:val="left" w:pos="880"/>
              <w:tab w:val="right" w:leader="dot" w:pos="9628"/>
            </w:tabs>
            <w:rPr>
              <w:rFonts w:eastAsiaTheme="minorEastAsia" w:cstheme="minorBidi"/>
              <w:smallCaps w:val="0"/>
              <w:noProof/>
              <w:kern w:val="0"/>
              <w:sz w:val="22"/>
              <w:szCs w:val="22"/>
              <w:lang w:eastAsia="fr-FR" w:bidi="ar-SA"/>
            </w:rPr>
          </w:pPr>
          <w:hyperlink w:anchor="_Toc214462475" w:history="1">
            <w:r w:rsidR="002F7F4F" w:rsidRPr="00A54596">
              <w:rPr>
                <w:rStyle w:val="Lienhypertexte"/>
                <w:noProof/>
              </w:rPr>
              <w:t>II.2 -</w:t>
            </w:r>
            <w:r w:rsidR="002F7F4F">
              <w:rPr>
                <w:rFonts w:eastAsiaTheme="minorEastAsia" w:cstheme="minorBidi"/>
                <w:smallCaps w:val="0"/>
                <w:noProof/>
                <w:kern w:val="0"/>
                <w:sz w:val="22"/>
                <w:szCs w:val="22"/>
                <w:lang w:eastAsia="fr-FR" w:bidi="ar-SA"/>
              </w:rPr>
              <w:tab/>
            </w:r>
            <w:r w:rsidR="002F7F4F" w:rsidRPr="00A54596">
              <w:rPr>
                <w:rStyle w:val="Lienhypertexte"/>
                <w:noProof/>
              </w:rPr>
              <w:t>Rattachement au Schéma Directeur Pluriannuel Handicap</w:t>
            </w:r>
            <w:r w:rsidR="002F7F4F">
              <w:rPr>
                <w:noProof/>
                <w:webHidden/>
              </w:rPr>
              <w:tab/>
            </w:r>
            <w:r w:rsidR="002F7F4F">
              <w:rPr>
                <w:noProof/>
                <w:webHidden/>
              </w:rPr>
              <w:fldChar w:fldCharType="begin"/>
            </w:r>
            <w:r w:rsidR="002F7F4F">
              <w:rPr>
                <w:noProof/>
                <w:webHidden/>
              </w:rPr>
              <w:instrText xml:space="preserve"> PAGEREF _Toc214462475 \h </w:instrText>
            </w:r>
            <w:r w:rsidR="002F7F4F">
              <w:rPr>
                <w:noProof/>
                <w:webHidden/>
              </w:rPr>
            </w:r>
            <w:r w:rsidR="002F7F4F">
              <w:rPr>
                <w:noProof/>
                <w:webHidden/>
              </w:rPr>
              <w:fldChar w:fldCharType="separate"/>
            </w:r>
            <w:r w:rsidR="002F7F4F">
              <w:rPr>
                <w:noProof/>
                <w:webHidden/>
              </w:rPr>
              <w:t>5</w:t>
            </w:r>
            <w:r w:rsidR="002F7F4F">
              <w:rPr>
                <w:noProof/>
                <w:webHidden/>
              </w:rPr>
              <w:fldChar w:fldCharType="end"/>
            </w:r>
          </w:hyperlink>
        </w:p>
        <w:p w14:paraId="3A8E0580" w14:textId="7A2DE0BD" w:rsidR="002F7F4F" w:rsidRDefault="00852BAA">
          <w:pPr>
            <w:pStyle w:val="TM2"/>
            <w:tabs>
              <w:tab w:val="left" w:pos="880"/>
              <w:tab w:val="right" w:leader="dot" w:pos="9628"/>
            </w:tabs>
            <w:rPr>
              <w:rFonts w:eastAsiaTheme="minorEastAsia" w:cstheme="minorBidi"/>
              <w:smallCaps w:val="0"/>
              <w:noProof/>
              <w:kern w:val="0"/>
              <w:sz w:val="22"/>
              <w:szCs w:val="22"/>
              <w:lang w:eastAsia="fr-FR" w:bidi="ar-SA"/>
            </w:rPr>
          </w:pPr>
          <w:hyperlink w:anchor="_Toc214462476" w:history="1">
            <w:r w:rsidR="002F7F4F" w:rsidRPr="00A54596">
              <w:rPr>
                <w:rStyle w:val="Lienhypertexte"/>
                <w:noProof/>
              </w:rPr>
              <w:t>II.3 -</w:t>
            </w:r>
            <w:r w:rsidR="002F7F4F">
              <w:rPr>
                <w:rFonts w:eastAsiaTheme="minorEastAsia" w:cstheme="minorBidi"/>
                <w:smallCaps w:val="0"/>
                <w:noProof/>
                <w:kern w:val="0"/>
                <w:sz w:val="22"/>
                <w:szCs w:val="22"/>
                <w:lang w:eastAsia="fr-FR" w:bidi="ar-SA"/>
              </w:rPr>
              <w:tab/>
            </w:r>
            <w:r w:rsidR="002F7F4F" w:rsidRPr="00A54596">
              <w:rPr>
                <w:rStyle w:val="Lienhypertexte"/>
                <w:noProof/>
              </w:rPr>
              <w:t>Politique numérique de l’Université de Lille</w:t>
            </w:r>
            <w:r w:rsidR="002F7F4F">
              <w:rPr>
                <w:noProof/>
                <w:webHidden/>
              </w:rPr>
              <w:tab/>
            </w:r>
            <w:r w:rsidR="002F7F4F">
              <w:rPr>
                <w:noProof/>
                <w:webHidden/>
              </w:rPr>
              <w:fldChar w:fldCharType="begin"/>
            </w:r>
            <w:r w:rsidR="002F7F4F">
              <w:rPr>
                <w:noProof/>
                <w:webHidden/>
              </w:rPr>
              <w:instrText xml:space="preserve"> PAGEREF _Toc214462476 \h </w:instrText>
            </w:r>
            <w:r w:rsidR="002F7F4F">
              <w:rPr>
                <w:noProof/>
                <w:webHidden/>
              </w:rPr>
            </w:r>
            <w:r w:rsidR="002F7F4F">
              <w:rPr>
                <w:noProof/>
                <w:webHidden/>
              </w:rPr>
              <w:fldChar w:fldCharType="separate"/>
            </w:r>
            <w:r w:rsidR="002F7F4F">
              <w:rPr>
                <w:noProof/>
                <w:webHidden/>
              </w:rPr>
              <w:t>6</w:t>
            </w:r>
            <w:r w:rsidR="002F7F4F">
              <w:rPr>
                <w:noProof/>
                <w:webHidden/>
              </w:rPr>
              <w:fldChar w:fldCharType="end"/>
            </w:r>
          </w:hyperlink>
        </w:p>
        <w:p w14:paraId="7575E579" w14:textId="05A2528E" w:rsidR="002F7F4F" w:rsidRDefault="00852BAA">
          <w:pPr>
            <w:pStyle w:val="TM1"/>
            <w:tabs>
              <w:tab w:val="left" w:pos="440"/>
              <w:tab w:val="right" w:leader="dot" w:pos="9628"/>
            </w:tabs>
            <w:rPr>
              <w:rFonts w:eastAsiaTheme="minorEastAsia" w:cstheme="minorBidi"/>
              <w:b w:val="0"/>
              <w:bCs w:val="0"/>
              <w:caps w:val="0"/>
              <w:noProof/>
              <w:kern w:val="0"/>
              <w:sz w:val="22"/>
              <w:szCs w:val="22"/>
              <w:lang w:eastAsia="fr-FR" w:bidi="ar-SA"/>
            </w:rPr>
          </w:pPr>
          <w:hyperlink w:anchor="_Toc214462477" w:history="1">
            <w:r w:rsidR="002F7F4F" w:rsidRPr="00A54596">
              <w:rPr>
                <w:rStyle w:val="Lienhypertexte"/>
                <w:noProof/>
              </w:rPr>
              <w:t>III.</w:t>
            </w:r>
            <w:r w:rsidR="002F7F4F">
              <w:rPr>
                <w:rFonts w:eastAsiaTheme="minorEastAsia" w:cstheme="minorBidi"/>
                <w:b w:val="0"/>
                <w:bCs w:val="0"/>
                <w:caps w:val="0"/>
                <w:noProof/>
                <w:kern w:val="0"/>
                <w:sz w:val="22"/>
                <w:szCs w:val="22"/>
                <w:lang w:eastAsia="fr-FR" w:bidi="ar-SA"/>
              </w:rPr>
              <w:tab/>
            </w:r>
            <w:r w:rsidR="002F7F4F" w:rsidRPr="00A54596">
              <w:rPr>
                <w:rStyle w:val="Lienhypertexte"/>
                <w:noProof/>
              </w:rPr>
              <w:t>Organisation et mise en œuvre</w:t>
            </w:r>
            <w:r w:rsidR="002F7F4F">
              <w:rPr>
                <w:noProof/>
                <w:webHidden/>
              </w:rPr>
              <w:tab/>
            </w:r>
            <w:r w:rsidR="002F7F4F">
              <w:rPr>
                <w:noProof/>
                <w:webHidden/>
              </w:rPr>
              <w:fldChar w:fldCharType="begin"/>
            </w:r>
            <w:r w:rsidR="002F7F4F">
              <w:rPr>
                <w:noProof/>
                <w:webHidden/>
              </w:rPr>
              <w:instrText xml:space="preserve"> PAGEREF _Toc214462477 \h </w:instrText>
            </w:r>
            <w:r w:rsidR="002F7F4F">
              <w:rPr>
                <w:noProof/>
                <w:webHidden/>
              </w:rPr>
            </w:r>
            <w:r w:rsidR="002F7F4F">
              <w:rPr>
                <w:noProof/>
                <w:webHidden/>
              </w:rPr>
              <w:fldChar w:fldCharType="separate"/>
            </w:r>
            <w:r w:rsidR="002F7F4F">
              <w:rPr>
                <w:noProof/>
                <w:webHidden/>
              </w:rPr>
              <w:t>6</w:t>
            </w:r>
            <w:r w:rsidR="002F7F4F">
              <w:rPr>
                <w:noProof/>
                <w:webHidden/>
              </w:rPr>
              <w:fldChar w:fldCharType="end"/>
            </w:r>
          </w:hyperlink>
        </w:p>
        <w:p w14:paraId="46F15B54" w14:textId="70A8FF5F" w:rsidR="002F7F4F" w:rsidRDefault="00852BAA">
          <w:pPr>
            <w:pStyle w:val="TM2"/>
            <w:tabs>
              <w:tab w:val="left" w:pos="880"/>
              <w:tab w:val="right" w:leader="dot" w:pos="9628"/>
            </w:tabs>
            <w:rPr>
              <w:rFonts w:eastAsiaTheme="minorEastAsia" w:cstheme="minorBidi"/>
              <w:smallCaps w:val="0"/>
              <w:noProof/>
              <w:kern w:val="0"/>
              <w:sz w:val="22"/>
              <w:szCs w:val="22"/>
              <w:lang w:eastAsia="fr-FR" w:bidi="ar-SA"/>
            </w:rPr>
          </w:pPr>
          <w:hyperlink w:anchor="_Toc214462478" w:history="1">
            <w:r w:rsidR="002F7F4F" w:rsidRPr="00A54596">
              <w:rPr>
                <w:rStyle w:val="Lienhypertexte"/>
                <w:noProof/>
              </w:rPr>
              <w:t>III.1 -</w:t>
            </w:r>
            <w:r w:rsidR="002F7F4F">
              <w:rPr>
                <w:rFonts w:eastAsiaTheme="minorEastAsia" w:cstheme="minorBidi"/>
                <w:smallCaps w:val="0"/>
                <w:noProof/>
                <w:kern w:val="0"/>
                <w:sz w:val="22"/>
                <w:szCs w:val="22"/>
                <w:lang w:eastAsia="fr-FR" w:bidi="ar-SA"/>
              </w:rPr>
              <w:tab/>
            </w:r>
            <w:r w:rsidR="002F7F4F" w:rsidRPr="00A54596">
              <w:rPr>
                <w:rStyle w:val="Lienhypertexte"/>
                <w:noProof/>
              </w:rPr>
              <w:t>Pilotage</w:t>
            </w:r>
            <w:r w:rsidR="002F7F4F">
              <w:rPr>
                <w:noProof/>
                <w:webHidden/>
              </w:rPr>
              <w:tab/>
            </w:r>
            <w:r w:rsidR="002F7F4F">
              <w:rPr>
                <w:noProof/>
                <w:webHidden/>
              </w:rPr>
              <w:fldChar w:fldCharType="begin"/>
            </w:r>
            <w:r w:rsidR="002F7F4F">
              <w:rPr>
                <w:noProof/>
                <w:webHidden/>
              </w:rPr>
              <w:instrText xml:space="preserve"> PAGEREF _Toc214462478 \h </w:instrText>
            </w:r>
            <w:r w:rsidR="002F7F4F">
              <w:rPr>
                <w:noProof/>
                <w:webHidden/>
              </w:rPr>
            </w:r>
            <w:r w:rsidR="002F7F4F">
              <w:rPr>
                <w:noProof/>
                <w:webHidden/>
              </w:rPr>
              <w:fldChar w:fldCharType="separate"/>
            </w:r>
            <w:r w:rsidR="002F7F4F">
              <w:rPr>
                <w:noProof/>
                <w:webHidden/>
              </w:rPr>
              <w:t>6</w:t>
            </w:r>
            <w:r w:rsidR="002F7F4F">
              <w:rPr>
                <w:noProof/>
                <w:webHidden/>
              </w:rPr>
              <w:fldChar w:fldCharType="end"/>
            </w:r>
          </w:hyperlink>
        </w:p>
        <w:p w14:paraId="34496F79" w14:textId="78EB2105" w:rsidR="002F7F4F" w:rsidRDefault="00852BAA">
          <w:pPr>
            <w:pStyle w:val="TM2"/>
            <w:tabs>
              <w:tab w:val="left" w:pos="880"/>
              <w:tab w:val="right" w:leader="dot" w:pos="9628"/>
            </w:tabs>
            <w:rPr>
              <w:rFonts w:eastAsiaTheme="minorEastAsia" w:cstheme="minorBidi"/>
              <w:smallCaps w:val="0"/>
              <w:noProof/>
              <w:kern w:val="0"/>
              <w:sz w:val="22"/>
              <w:szCs w:val="22"/>
              <w:lang w:eastAsia="fr-FR" w:bidi="ar-SA"/>
            </w:rPr>
          </w:pPr>
          <w:hyperlink w:anchor="_Toc214462479" w:history="1">
            <w:r w:rsidR="002F7F4F" w:rsidRPr="00A54596">
              <w:rPr>
                <w:rStyle w:val="Lienhypertexte"/>
                <w:noProof/>
              </w:rPr>
              <w:t>III.2 -</w:t>
            </w:r>
            <w:r w:rsidR="002F7F4F">
              <w:rPr>
                <w:rFonts w:eastAsiaTheme="minorEastAsia" w:cstheme="minorBidi"/>
                <w:smallCaps w:val="0"/>
                <w:noProof/>
                <w:kern w:val="0"/>
                <w:sz w:val="22"/>
                <w:szCs w:val="22"/>
                <w:lang w:eastAsia="fr-FR" w:bidi="ar-SA"/>
              </w:rPr>
              <w:tab/>
            </w:r>
            <w:r w:rsidR="002F7F4F" w:rsidRPr="00A54596">
              <w:rPr>
                <w:rStyle w:val="Lienhypertexte"/>
                <w:noProof/>
              </w:rPr>
              <w:t>Moyens humains</w:t>
            </w:r>
            <w:r w:rsidR="002F7F4F">
              <w:rPr>
                <w:noProof/>
                <w:webHidden/>
              </w:rPr>
              <w:tab/>
            </w:r>
            <w:r w:rsidR="002F7F4F">
              <w:rPr>
                <w:noProof/>
                <w:webHidden/>
              </w:rPr>
              <w:fldChar w:fldCharType="begin"/>
            </w:r>
            <w:r w:rsidR="002F7F4F">
              <w:rPr>
                <w:noProof/>
                <w:webHidden/>
              </w:rPr>
              <w:instrText xml:space="preserve"> PAGEREF _Toc214462479 \h </w:instrText>
            </w:r>
            <w:r w:rsidR="002F7F4F">
              <w:rPr>
                <w:noProof/>
                <w:webHidden/>
              </w:rPr>
            </w:r>
            <w:r w:rsidR="002F7F4F">
              <w:rPr>
                <w:noProof/>
                <w:webHidden/>
              </w:rPr>
              <w:fldChar w:fldCharType="separate"/>
            </w:r>
            <w:r w:rsidR="002F7F4F">
              <w:rPr>
                <w:noProof/>
                <w:webHidden/>
              </w:rPr>
              <w:t>7</w:t>
            </w:r>
            <w:r w:rsidR="002F7F4F">
              <w:rPr>
                <w:noProof/>
                <w:webHidden/>
              </w:rPr>
              <w:fldChar w:fldCharType="end"/>
            </w:r>
          </w:hyperlink>
        </w:p>
        <w:p w14:paraId="00463327" w14:textId="1FD6E287" w:rsidR="002F7F4F" w:rsidRDefault="00852BAA">
          <w:pPr>
            <w:pStyle w:val="TM2"/>
            <w:tabs>
              <w:tab w:val="left" w:pos="880"/>
              <w:tab w:val="right" w:leader="dot" w:pos="9628"/>
            </w:tabs>
            <w:rPr>
              <w:rFonts w:eastAsiaTheme="minorEastAsia" w:cstheme="minorBidi"/>
              <w:smallCaps w:val="0"/>
              <w:noProof/>
              <w:kern w:val="0"/>
              <w:sz w:val="22"/>
              <w:szCs w:val="22"/>
              <w:lang w:eastAsia="fr-FR" w:bidi="ar-SA"/>
            </w:rPr>
          </w:pPr>
          <w:hyperlink w:anchor="_Toc214462480" w:history="1">
            <w:r w:rsidR="002F7F4F" w:rsidRPr="00A54596">
              <w:rPr>
                <w:rStyle w:val="Lienhypertexte"/>
                <w:noProof/>
              </w:rPr>
              <w:t>III.3 -</w:t>
            </w:r>
            <w:r w:rsidR="002F7F4F">
              <w:rPr>
                <w:rFonts w:eastAsiaTheme="minorEastAsia" w:cstheme="minorBidi"/>
                <w:smallCaps w:val="0"/>
                <w:noProof/>
                <w:kern w:val="0"/>
                <w:sz w:val="22"/>
                <w:szCs w:val="22"/>
                <w:lang w:eastAsia="fr-FR" w:bidi="ar-SA"/>
              </w:rPr>
              <w:tab/>
            </w:r>
            <w:r w:rsidR="002F7F4F" w:rsidRPr="00A54596">
              <w:rPr>
                <w:rStyle w:val="Lienhypertexte"/>
                <w:noProof/>
              </w:rPr>
              <w:t>Moyens financiers</w:t>
            </w:r>
            <w:r w:rsidR="002F7F4F">
              <w:rPr>
                <w:noProof/>
                <w:webHidden/>
              </w:rPr>
              <w:tab/>
            </w:r>
            <w:r w:rsidR="002F7F4F">
              <w:rPr>
                <w:noProof/>
                <w:webHidden/>
              </w:rPr>
              <w:fldChar w:fldCharType="begin"/>
            </w:r>
            <w:r w:rsidR="002F7F4F">
              <w:rPr>
                <w:noProof/>
                <w:webHidden/>
              </w:rPr>
              <w:instrText xml:space="preserve"> PAGEREF _Toc214462480 \h </w:instrText>
            </w:r>
            <w:r w:rsidR="002F7F4F">
              <w:rPr>
                <w:noProof/>
                <w:webHidden/>
              </w:rPr>
            </w:r>
            <w:r w:rsidR="002F7F4F">
              <w:rPr>
                <w:noProof/>
                <w:webHidden/>
              </w:rPr>
              <w:fldChar w:fldCharType="separate"/>
            </w:r>
            <w:r w:rsidR="002F7F4F">
              <w:rPr>
                <w:noProof/>
                <w:webHidden/>
              </w:rPr>
              <w:t>8</w:t>
            </w:r>
            <w:r w:rsidR="002F7F4F">
              <w:rPr>
                <w:noProof/>
                <w:webHidden/>
              </w:rPr>
              <w:fldChar w:fldCharType="end"/>
            </w:r>
          </w:hyperlink>
        </w:p>
        <w:p w14:paraId="20250981" w14:textId="21326BFC" w:rsidR="002F7F4F" w:rsidRDefault="00852BAA">
          <w:pPr>
            <w:pStyle w:val="TM2"/>
            <w:tabs>
              <w:tab w:val="left" w:pos="880"/>
              <w:tab w:val="right" w:leader="dot" w:pos="9628"/>
            </w:tabs>
            <w:rPr>
              <w:rFonts w:eastAsiaTheme="minorEastAsia" w:cstheme="minorBidi"/>
              <w:smallCaps w:val="0"/>
              <w:noProof/>
              <w:kern w:val="0"/>
              <w:sz w:val="22"/>
              <w:szCs w:val="22"/>
              <w:lang w:eastAsia="fr-FR" w:bidi="ar-SA"/>
            </w:rPr>
          </w:pPr>
          <w:hyperlink w:anchor="_Toc214462481" w:history="1">
            <w:r w:rsidR="002F7F4F" w:rsidRPr="00A54596">
              <w:rPr>
                <w:rStyle w:val="Lienhypertexte"/>
                <w:noProof/>
              </w:rPr>
              <w:t>III.4 -</w:t>
            </w:r>
            <w:r w:rsidR="002F7F4F">
              <w:rPr>
                <w:rFonts w:eastAsiaTheme="minorEastAsia" w:cstheme="minorBidi"/>
                <w:smallCaps w:val="0"/>
                <w:noProof/>
                <w:kern w:val="0"/>
                <w:sz w:val="22"/>
                <w:szCs w:val="22"/>
                <w:lang w:eastAsia="fr-FR" w:bidi="ar-SA"/>
              </w:rPr>
              <w:tab/>
            </w:r>
            <w:r w:rsidR="002F7F4F" w:rsidRPr="00A54596">
              <w:rPr>
                <w:rStyle w:val="Lienhypertexte"/>
                <w:noProof/>
              </w:rPr>
              <w:t>Gestion des compétences</w:t>
            </w:r>
            <w:r w:rsidR="002F7F4F">
              <w:rPr>
                <w:noProof/>
                <w:webHidden/>
              </w:rPr>
              <w:tab/>
            </w:r>
            <w:r w:rsidR="002F7F4F">
              <w:rPr>
                <w:noProof/>
                <w:webHidden/>
              </w:rPr>
              <w:fldChar w:fldCharType="begin"/>
            </w:r>
            <w:r w:rsidR="002F7F4F">
              <w:rPr>
                <w:noProof/>
                <w:webHidden/>
              </w:rPr>
              <w:instrText xml:space="preserve"> PAGEREF _Toc214462481 \h </w:instrText>
            </w:r>
            <w:r w:rsidR="002F7F4F">
              <w:rPr>
                <w:noProof/>
                <w:webHidden/>
              </w:rPr>
            </w:r>
            <w:r w:rsidR="002F7F4F">
              <w:rPr>
                <w:noProof/>
                <w:webHidden/>
              </w:rPr>
              <w:fldChar w:fldCharType="separate"/>
            </w:r>
            <w:r w:rsidR="002F7F4F">
              <w:rPr>
                <w:noProof/>
                <w:webHidden/>
              </w:rPr>
              <w:t>9</w:t>
            </w:r>
            <w:r w:rsidR="002F7F4F">
              <w:rPr>
                <w:noProof/>
                <w:webHidden/>
              </w:rPr>
              <w:fldChar w:fldCharType="end"/>
            </w:r>
          </w:hyperlink>
        </w:p>
        <w:p w14:paraId="47EA6564" w14:textId="1976AC49" w:rsidR="002F7F4F" w:rsidRDefault="00852BAA">
          <w:pPr>
            <w:pStyle w:val="TM3"/>
            <w:tabs>
              <w:tab w:val="left" w:pos="1320"/>
              <w:tab w:val="right" w:leader="dot" w:pos="9628"/>
            </w:tabs>
            <w:rPr>
              <w:rFonts w:eastAsiaTheme="minorEastAsia" w:cstheme="minorBidi"/>
              <w:i w:val="0"/>
              <w:iCs w:val="0"/>
              <w:noProof/>
              <w:kern w:val="0"/>
              <w:sz w:val="22"/>
              <w:szCs w:val="22"/>
              <w:lang w:eastAsia="fr-FR" w:bidi="ar-SA"/>
            </w:rPr>
          </w:pPr>
          <w:hyperlink w:anchor="_Toc214462482" w:history="1">
            <w:r w:rsidR="002F7F4F" w:rsidRPr="00A54596">
              <w:rPr>
                <w:rStyle w:val="Lienhypertexte"/>
                <w:noProof/>
              </w:rPr>
              <w:t>III.4.1</w:t>
            </w:r>
            <w:r w:rsidR="002F7F4F">
              <w:rPr>
                <w:rFonts w:eastAsiaTheme="minorEastAsia" w:cstheme="minorBidi"/>
                <w:i w:val="0"/>
                <w:iCs w:val="0"/>
                <w:noProof/>
                <w:kern w:val="0"/>
                <w:sz w:val="22"/>
                <w:szCs w:val="22"/>
                <w:lang w:eastAsia="fr-FR" w:bidi="ar-SA"/>
              </w:rPr>
              <w:tab/>
            </w:r>
            <w:r w:rsidR="002F7F4F" w:rsidRPr="00A54596">
              <w:rPr>
                <w:rStyle w:val="Lienhypertexte"/>
                <w:noProof/>
              </w:rPr>
              <w:t>Actions de formation et de sensibilisation</w:t>
            </w:r>
            <w:r w:rsidR="002F7F4F">
              <w:rPr>
                <w:noProof/>
                <w:webHidden/>
              </w:rPr>
              <w:tab/>
            </w:r>
            <w:r w:rsidR="002F7F4F">
              <w:rPr>
                <w:noProof/>
                <w:webHidden/>
              </w:rPr>
              <w:fldChar w:fldCharType="begin"/>
            </w:r>
            <w:r w:rsidR="002F7F4F">
              <w:rPr>
                <w:noProof/>
                <w:webHidden/>
              </w:rPr>
              <w:instrText xml:space="preserve"> PAGEREF _Toc214462482 \h </w:instrText>
            </w:r>
            <w:r w:rsidR="002F7F4F">
              <w:rPr>
                <w:noProof/>
                <w:webHidden/>
              </w:rPr>
            </w:r>
            <w:r w:rsidR="002F7F4F">
              <w:rPr>
                <w:noProof/>
                <w:webHidden/>
              </w:rPr>
              <w:fldChar w:fldCharType="separate"/>
            </w:r>
            <w:r w:rsidR="002F7F4F">
              <w:rPr>
                <w:noProof/>
                <w:webHidden/>
              </w:rPr>
              <w:t>9</w:t>
            </w:r>
            <w:r w:rsidR="002F7F4F">
              <w:rPr>
                <w:noProof/>
                <w:webHidden/>
              </w:rPr>
              <w:fldChar w:fldCharType="end"/>
            </w:r>
          </w:hyperlink>
        </w:p>
        <w:p w14:paraId="06409927" w14:textId="645DC8B8" w:rsidR="002F7F4F" w:rsidRDefault="00852BAA">
          <w:pPr>
            <w:pStyle w:val="TM3"/>
            <w:tabs>
              <w:tab w:val="left" w:pos="1320"/>
              <w:tab w:val="right" w:leader="dot" w:pos="9628"/>
            </w:tabs>
            <w:rPr>
              <w:rFonts w:eastAsiaTheme="minorEastAsia" w:cstheme="minorBidi"/>
              <w:i w:val="0"/>
              <w:iCs w:val="0"/>
              <w:noProof/>
              <w:kern w:val="0"/>
              <w:sz w:val="22"/>
              <w:szCs w:val="22"/>
              <w:lang w:eastAsia="fr-FR" w:bidi="ar-SA"/>
            </w:rPr>
          </w:pPr>
          <w:hyperlink w:anchor="_Toc214462483" w:history="1">
            <w:r w:rsidR="002F7F4F" w:rsidRPr="00A54596">
              <w:rPr>
                <w:rStyle w:val="Lienhypertexte"/>
                <w:noProof/>
              </w:rPr>
              <w:t>III.4.2</w:t>
            </w:r>
            <w:r w:rsidR="002F7F4F">
              <w:rPr>
                <w:rFonts w:eastAsiaTheme="minorEastAsia" w:cstheme="minorBidi"/>
                <w:i w:val="0"/>
                <w:iCs w:val="0"/>
                <w:noProof/>
                <w:kern w:val="0"/>
                <w:sz w:val="22"/>
                <w:szCs w:val="22"/>
                <w:lang w:eastAsia="fr-FR" w:bidi="ar-SA"/>
              </w:rPr>
              <w:tab/>
            </w:r>
            <w:r w:rsidR="002F7F4F" w:rsidRPr="00A54596">
              <w:rPr>
                <w:rStyle w:val="Lienhypertexte"/>
                <w:noProof/>
              </w:rPr>
              <w:t>Recrutement</w:t>
            </w:r>
            <w:r w:rsidR="002F7F4F">
              <w:rPr>
                <w:noProof/>
                <w:webHidden/>
              </w:rPr>
              <w:tab/>
            </w:r>
            <w:r w:rsidR="002F7F4F">
              <w:rPr>
                <w:noProof/>
                <w:webHidden/>
              </w:rPr>
              <w:fldChar w:fldCharType="begin"/>
            </w:r>
            <w:r w:rsidR="002F7F4F">
              <w:rPr>
                <w:noProof/>
                <w:webHidden/>
              </w:rPr>
              <w:instrText xml:space="preserve"> PAGEREF _Toc214462483 \h </w:instrText>
            </w:r>
            <w:r w:rsidR="002F7F4F">
              <w:rPr>
                <w:noProof/>
                <w:webHidden/>
              </w:rPr>
            </w:r>
            <w:r w:rsidR="002F7F4F">
              <w:rPr>
                <w:noProof/>
                <w:webHidden/>
              </w:rPr>
              <w:fldChar w:fldCharType="separate"/>
            </w:r>
            <w:r w:rsidR="002F7F4F">
              <w:rPr>
                <w:noProof/>
                <w:webHidden/>
              </w:rPr>
              <w:t>9</w:t>
            </w:r>
            <w:r w:rsidR="002F7F4F">
              <w:rPr>
                <w:noProof/>
                <w:webHidden/>
              </w:rPr>
              <w:fldChar w:fldCharType="end"/>
            </w:r>
          </w:hyperlink>
        </w:p>
        <w:p w14:paraId="77402F40" w14:textId="40021761" w:rsidR="002F7F4F" w:rsidRDefault="00852BAA">
          <w:pPr>
            <w:pStyle w:val="TM3"/>
            <w:tabs>
              <w:tab w:val="left" w:pos="1320"/>
              <w:tab w:val="right" w:leader="dot" w:pos="9628"/>
            </w:tabs>
            <w:rPr>
              <w:rFonts w:eastAsiaTheme="minorEastAsia" w:cstheme="minorBidi"/>
              <w:i w:val="0"/>
              <w:iCs w:val="0"/>
              <w:noProof/>
              <w:kern w:val="0"/>
              <w:sz w:val="22"/>
              <w:szCs w:val="22"/>
              <w:lang w:eastAsia="fr-FR" w:bidi="ar-SA"/>
            </w:rPr>
          </w:pPr>
          <w:hyperlink w:anchor="_Toc214462484" w:history="1">
            <w:r w:rsidR="002F7F4F" w:rsidRPr="00A54596">
              <w:rPr>
                <w:rStyle w:val="Lienhypertexte"/>
                <w:noProof/>
              </w:rPr>
              <w:t>III.4.3</w:t>
            </w:r>
            <w:r w:rsidR="002F7F4F">
              <w:rPr>
                <w:rFonts w:eastAsiaTheme="minorEastAsia" w:cstheme="minorBidi"/>
                <w:i w:val="0"/>
                <w:iCs w:val="0"/>
                <w:noProof/>
                <w:kern w:val="0"/>
                <w:sz w:val="22"/>
                <w:szCs w:val="22"/>
                <w:lang w:eastAsia="fr-FR" w:bidi="ar-SA"/>
              </w:rPr>
              <w:tab/>
            </w:r>
            <w:r w:rsidR="002F7F4F" w:rsidRPr="00A54596">
              <w:rPr>
                <w:rStyle w:val="Lienhypertexte"/>
                <w:noProof/>
              </w:rPr>
              <w:t>Recours à des compétences externes.</w:t>
            </w:r>
            <w:r w:rsidR="002F7F4F">
              <w:rPr>
                <w:noProof/>
                <w:webHidden/>
              </w:rPr>
              <w:tab/>
            </w:r>
            <w:r w:rsidR="002F7F4F">
              <w:rPr>
                <w:noProof/>
                <w:webHidden/>
              </w:rPr>
              <w:fldChar w:fldCharType="begin"/>
            </w:r>
            <w:r w:rsidR="002F7F4F">
              <w:rPr>
                <w:noProof/>
                <w:webHidden/>
              </w:rPr>
              <w:instrText xml:space="preserve"> PAGEREF _Toc214462484 \h </w:instrText>
            </w:r>
            <w:r w:rsidR="002F7F4F">
              <w:rPr>
                <w:noProof/>
                <w:webHidden/>
              </w:rPr>
            </w:r>
            <w:r w:rsidR="002F7F4F">
              <w:rPr>
                <w:noProof/>
                <w:webHidden/>
              </w:rPr>
              <w:fldChar w:fldCharType="separate"/>
            </w:r>
            <w:r w:rsidR="002F7F4F">
              <w:rPr>
                <w:noProof/>
                <w:webHidden/>
              </w:rPr>
              <w:t>10</w:t>
            </w:r>
            <w:r w:rsidR="002F7F4F">
              <w:rPr>
                <w:noProof/>
                <w:webHidden/>
              </w:rPr>
              <w:fldChar w:fldCharType="end"/>
            </w:r>
          </w:hyperlink>
        </w:p>
        <w:p w14:paraId="7461B264" w14:textId="77F2725A" w:rsidR="002F7F4F" w:rsidRDefault="00852BAA">
          <w:pPr>
            <w:pStyle w:val="TM2"/>
            <w:tabs>
              <w:tab w:val="left" w:pos="880"/>
              <w:tab w:val="right" w:leader="dot" w:pos="9628"/>
            </w:tabs>
            <w:rPr>
              <w:rFonts w:eastAsiaTheme="minorEastAsia" w:cstheme="minorBidi"/>
              <w:smallCaps w:val="0"/>
              <w:noProof/>
              <w:kern w:val="0"/>
              <w:sz w:val="22"/>
              <w:szCs w:val="22"/>
              <w:lang w:eastAsia="fr-FR" w:bidi="ar-SA"/>
            </w:rPr>
          </w:pPr>
          <w:hyperlink w:anchor="_Toc214462485" w:history="1">
            <w:r w:rsidR="002F7F4F" w:rsidRPr="00A54596">
              <w:rPr>
                <w:rStyle w:val="Lienhypertexte"/>
                <w:noProof/>
              </w:rPr>
              <w:t>III.5 -</w:t>
            </w:r>
            <w:r w:rsidR="002F7F4F">
              <w:rPr>
                <w:rFonts w:eastAsiaTheme="minorEastAsia" w:cstheme="minorBidi"/>
                <w:smallCaps w:val="0"/>
                <w:noProof/>
                <w:kern w:val="0"/>
                <w:sz w:val="22"/>
                <w:szCs w:val="22"/>
                <w:lang w:eastAsia="fr-FR" w:bidi="ar-SA"/>
              </w:rPr>
              <w:tab/>
            </w:r>
            <w:r w:rsidR="002F7F4F" w:rsidRPr="00A54596">
              <w:rPr>
                <w:rStyle w:val="Lienhypertexte"/>
                <w:noProof/>
              </w:rPr>
              <w:t>Prise en compte de l’accessibilité numérique dans les projets</w:t>
            </w:r>
            <w:r w:rsidR="002F7F4F">
              <w:rPr>
                <w:noProof/>
                <w:webHidden/>
              </w:rPr>
              <w:tab/>
            </w:r>
            <w:r w:rsidR="002F7F4F">
              <w:rPr>
                <w:noProof/>
                <w:webHidden/>
              </w:rPr>
              <w:fldChar w:fldCharType="begin"/>
            </w:r>
            <w:r w:rsidR="002F7F4F">
              <w:rPr>
                <w:noProof/>
                <w:webHidden/>
              </w:rPr>
              <w:instrText xml:space="preserve"> PAGEREF _Toc214462485 \h </w:instrText>
            </w:r>
            <w:r w:rsidR="002F7F4F">
              <w:rPr>
                <w:noProof/>
                <w:webHidden/>
              </w:rPr>
            </w:r>
            <w:r w:rsidR="002F7F4F">
              <w:rPr>
                <w:noProof/>
                <w:webHidden/>
              </w:rPr>
              <w:fldChar w:fldCharType="separate"/>
            </w:r>
            <w:r w:rsidR="002F7F4F">
              <w:rPr>
                <w:noProof/>
                <w:webHidden/>
              </w:rPr>
              <w:t>10</w:t>
            </w:r>
            <w:r w:rsidR="002F7F4F">
              <w:rPr>
                <w:noProof/>
                <w:webHidden/>
              </w:rPr>
              <w:fldChar w:fldCharType="end"/>
            </w:r>
          </w:hyperlink>
        </w:p>
        <w:p w14:paraId="6305A82D" w14:textId="1A5D2715" w:rsidR="002F7F4F" w:rsidRDefault="00852BAA">
          <w:pPr>
            <w:pStyle w:val="TM2"/>
            <w:tabs>
              <w:tab w:val="left" w:pos="880"/>
              <w:tab w:val="right" w:leader="dot" w:pos="9628"/>
            </w:tabs>
            <w:rPr>
              <w:rFonts w:eastAsiaTheme="minorEastAsia" w:cstheme="minorBidi"/>
              <w:smallCaps w:val="0"/>
              <w:noProof/>
              <w:kern w:val="0"/>
              <w:sz w:val="22"/>
              <w:szCs w:val="22"/>
              <w:lang w:eastAsia="fr-FR" w:bidi="ar-SA"/>
            </w:rPr>
          </w:pPr>
          <w:hyperlink w:anchor="_Toc214462486" w:history="1">
            <w:r w:rsidR="002F7F4F" w:rsidRPr="00A54596">
              <w:rPr>
                <w:rStyle w:val="Lienhypertexte"/>
                <w:noProof/>
              </w:rPr>
              <w:t>III.6 -</w:t>
            </w:r>
            <w:r w:rsidR="002F7F4F">
              <w:rPr>
                <w:rFonts w:eastAsiaTheme="minorEastAsia" w:cstheme="minorBidi"/>
                <w:smallCaps w:val="0"/>
                <w:noProof/>
                <w:kern w:val="0"/>
                <w:sz w:val="22"/>
                <w:szCs w:val="22"/>
                <w:lang w:eastAsia="fr-FR" w:bidi="ar-SA"/>
              </w:rPr>
              <w:tab/>
            </w:r>
            <w:r w:rsidR="002F7F4F" w:rsidRPr="00A54596">
              <w:rPr>
                <w:rStyle w:val="Lienhypertexte"/>
                <w:noProof/>
              </w:rPr>
              <w:t>Prise en compte de l’accessibilité dans les procédures de marché</w:t>
            </w:r>
            <w:r w:rsidR="002F7F4F">
              <w:rPr>
                <w:noProof/>
                <w:webHidden/>
              </w:rPr>
              <w:tab/>
            </w:r>
            <w:r w:rsidR="002F7F4F">
              <w:rPr>
                <w:noProof/>
                <w:webHidden/>
              </w:rPr>
              <w:fldChar w:fldCharType="begin"/>
            </w:r>
            <w:r w:rsidR="002F7F4F">
              <w:rPr>
                <w:noProof/>
                <w:webHidden/>
              </w:rPr>
              <w:instrText xml:space="preserve"> PAGEREF _Toc214462486 \h </w:instrText>
            </w:r>
            <w:r w:rsidR="002F7F4F">
              <w:rPr>
                <w:noProof/>
                <w:webHidden/>
              </w:rPr>
            </w:r>
            <w:r w:rsidR="002F7F4F">
              <w:rPr>
                <w:noProof/>
                <w:webHidden/>
              </w:rPr>
              <w:fldChar w:fldCharType="separate"/>
            </w:r>
            <w:r w:rsidR="002F7F4F">
              <w:rPr>
                <w:noProof/>
                <w:webHidden/>
              </w:rPr>
              <w:t>10</w:t>
            </w:r>
            <w:r w:rsidR="002F7F4F">
              <w:rPr>
                <w:noProof/>
                <w:webHidden/>
              </w:rPr>
              <w:fldChar w:fldCharType="end"/>
            </w:r>
          </w:hyperlink>
        </w:p>
        <w:p w14:paraId="6B11BE4E" w14:textId="5D8C9F3E" w:rsidR="002F7F4F" w:rsidRDefault="00852BAA">
          <w:pPr>
            <w:pStyle w:val="TM2"/>
            <w:tabs>
              <w:tab w:val="left" w:pos="880"/>
              <w:tab w:val="right" w:leader="dot" w:pos="9628"/>
            </w:tabs>
            <w:rPr>
              <w:rFonts w:eastAsiaTheme="minorEastAsia" w:cstheme="minorBidi"/>
              <w:smallCaps w:val="0"/>
              <w:noProof/>
              <w:kern w:val="0"/>
              <w:sz w:val="22"/>
              <w:szCs w:val="22"/>
              <w:lang w:eastAsia="fr-FR" w:bidi="ar-SA"/>
            </w:rPr>
          </w:pPr>
          <w:hyperlink w:anchor="_Toc214462487" w:history="1">
            <w:r w:rsidR="002F7F4F" w:rsidRPr="00A54596">
              <w:rPr>
                <w:rStyle w:val="Lienhypertexte"/>
                <w:noProof/>
              </w:rPr>
              <w:t>III.7 -</w:t>
            </w:r>
            <w:r w:rsidR="002F7F4F">
              <w:rPr>
                <w:rFonts w:eastAsiaTheme="minorEastAsia" w:cstheme="minorBidi"/>
                <w:smallCaps w:val="0"/>
                <w:noProof/>
                <w:kern w:val="0"/>
                <w:sz w:val="22"/>
                <w:szCs w:val="22"/>
                <w:lang w:eastAsia="fr-FR" w:bidi="ar-SA"/>
              </w:rPr>
              <w:tab/>
            </w:r>
            <w:r w:rsidR="002F7F4F" w:rsidRPr="00A54596">
              <w:rPr>
                <w:rStyle w:val="Lienhypertexte"/>
                <w:noProof/>
              </w:rPr>
              <w:t>Processus de contrôle et de validation</w:t>
            </w:r>
            <w:r w:rsidR="002F7F4F">
              <w:rPr>
                <w:noProof/>
                <w:webHidden/>
              </w:rPr>
              <w:tab/>
            </w:r>
            <w:r w:rsidR="002F7F4F">
              <w:rPr>
                <w:noProof/>
                <w:webHidden/>
              </w:rPr>
              <w:fldChar w:fldCharType="begin"/>
            </w:r>
            <w:r w:rsidR="002F7F4F">
              <w:rPr>
                <w:noProof/>
                <w:webHidden/>
              </w:rPr>
              <w:instrText xml:space="preserve"> PAGEREF _Toc214462487 \h </w:instrText>
            </w:r>
            <w:r w:rsidR="002F7F4F">
              <w:rPr>
                <w:noProof/>
                <w:webHidden/>
              </w:rPr>
            </w:r>
            <w:r w:rsidR="002F7F4F">
              <w:rPr>
                <w:noProof/>
                <w:webHidden/>
              </w:rPr>
              <w:fldChar w:fldCharType="separate"/>
            </w:r>
            <w:r w:rsidR="002F7F4F">
              <w:rPr>
                <w:noProof/>
                <w:webHidden/>
              </w:rPr>
              <w:t>11</w:t>
            </w:r>
            <w:r w:rsidR="002F7F4F">
              <w:rPr>
                <w:noProof/>
                <w:webHidden/>
              </w:rPr>
              <w:fldChar w:fldCharType="end"/>
            </w:r>
          </w:hyperlink>
        </w:p>
        <w:p w14:paraId="22BEAF1F" w14:textId="2620ABB9" w:rsidR="002F7F4F" w:rsidRDefault="00852BAA">
          <w:pPr>
            <w:pStyle w:val="TM3"/>
            <w:tabs>
              <w:tab w:val="left" w:pos="1320"/>
              <w:tab w:val="right" w:leader="dot" w:pos="9628"/>
            </w:tabs>
            <w:rPr>
              <w:rFonts w:eastAsiaTheme="minorEastAsia" w:cstheme="minorBidi"/>
              <w:i w:val="0"/>
              <w:iCs w:val="0"/>
              <w:noProof/>
              <w:kern w:val="0"/>
              <w:sz w:val="22"/>
              <w:szCs w:val="22"/>
              <w:lang w:eastAsia="fr-FR" w:bidi="ar-SA"/>
            </w:rPr>
          </w:pPr>
          <w:hyperlink w:anchor="_Toc214462488" w:history="1">
            <w:r w:rsidR="002F7F4F" w:rsidRPr="00A54596">
              <w:rPr>
                <w:rStyle w:val="Lienhypertexte"/>
                <w:noProof/>
              </w:rPr>
              <w:t>III.7.1</w:t>
            </w:r>
            <w:r w:rsidR="002F7F4F">
              <w:rPr>
                <w:rFonts w:eastAsiaTheme="minorEastAsia" w:cstheme="minorBidi"/>
                <w:i w:val="0"/>
                <w:iCs w:val="0"/>
                <w:noProof/>
                <w:kern w:val="0"/>
                <w:sz w:val="22"/>
                <w:szCs w:val="22"/>
                <w:lang w:eastAsia="fr-FR" w:bidi="ar-SA"/>
              </w:rPr>
              <w:tab/>
            </w:r>
            <w:r w:rsidR="002F7F4F" w:rsidRPr="00A54596">
              <w:rPr>
                <w:rStyle w:val="Lienhypertexte"/>
                <w:noProof/>
              </w:rPr>
              <w:t>Moyens humains, techniques et outillages</w:t>
            </w:r>
            <w:r w:rsidR="002F7F4F">
              <w:rPr>
                <w:noProof/>
                <w:webHidden/>
              </w:rPr>
              <w:tab/>
            </w:r>
            <w:r w:rsidR="002F7F4F">
              <w:rPr>
                <w:noProof/>
                <w:webHidden/>
              </w:rPr>
              <w:fldChar w:fldCharType="begin"/>
            </w:r>
            <w:r w:rsidR="002F7F4F">
              <w:rPr>
                <w:noProof/>
                <w:webHidden/>
              </w:rPr>
              <w:instrText xml:space="preserve"> PAGEREF _Toc214462488 \h </w:instrText>
            </w:r>
            <w:r w:rsidR="002F7F4F">
              <w:rPr>
                <w:noProof/>
                <w:webHidden/>
              </w:rPr>
            </w:r>
            <w:r w:rsidR="002F7F4F">
              <w:rPr>
                <w:noProof/>
                <w:webHidden/>
              </w:rPr>
              <w:fldChar w:fldCharType="separate"/>
            </w:r>
            <w:r w:rsidR="002F7F4F">
              <w:rPr>
                <w:noProof/>
                <w:webHidden/>
              </w:rPr>
              <w:t>11</w:t>
            </w:r>
            <w:r w:rsidR="002F7F4F">
              <w:rPr>
                <w:noProof/>
                <w:webHidden/>
              </w:rPr>
              <w:fldChar w:fldCharType="end"/>
            </w:r>
          </w:hyperlink>
        </w:p>
        <w:p w14:paraId="08510A9D" w14:textId="1E5E6C3F" w:rsidR="002F7F4F" w:rsidRDefault="00852BAA">
          <w:pPr>
            <w:pStyle w:val="TM3"/>
            <w:tabs>
              <w:tab w:val="left" w:pos="1320"/>
              <w:tab w:val="right" w:leader="dot" w:pos="9628"/>
            </w:tabs>
            <w:rPr>
              <w:rFonts w:eastAsiaTheme="minorEastAsia" w:cstheme="minorBidi"/>
              <w:i w:val="0"/>
              <w:iCs w:val="0"/>
              <w:noProof/>
              <w:kern w:val="0"/>
              <w:sz w:val="22"/>
              <w:szCs w:val="22"/>
              <w:lang w:eastAsia="fr-FR" w:bidi="ar-SA"/>
            </w:rPr>
          </w:pPr>
          <w:hyperlink w:anchor="_Toc214462489" w:history="1">
            <w:r w:rsidR="002F7F4F" w:rsidRPr="00A54596">
              <w:rPr>
                <w:rStyle w:val="Lienhypertexte"/>
                <w:noProof/>
              </w:rPr>
              <w:t>III.7.2</w:t>
            </w:r>
            <w:r w:rsidR="002F7F4F">
              <w:rPr>
                <w:rFonts w:eastAsiaTheme="minorEastAsia" w:cstheme="minorBidi"/>
                <w:i w:val="0"/>
                <w:iCs w:val="0"/>
                <w:noProof/>
                <w:kern w:val="0"/>
                <w:sz w:val="22"/>
                <w:szCs w:val="22"/>
                <w:lang w:eastAsia="fr-FR" w:bidi="ar-SA"/>
              </w:rPr>
              <w:tab/>
            </w:r>
            <w:r w:rsidR="002F7F4F" w:rsidRPr="00A54596">
              <w:rPr>
                <w:rStyle w:val="Lienhypertexte"/>
                <w:noProof/>
              </w:rPr>
              <w:t>Tests usagers</w:t>
            </w:r>
            <w:r w:rsidR="002F7F4F">
              <w:rPr>
                <w:noProof/>
                <w:webHidden/>
              </w:rPr>
              <w:tab/>
            </w:r>
            <w:r w:rsidR="002F7F4F">
              <w:rPr>
                <w:noProof/>
                <w:webHidden/>
              </w:rPr>
              <w:fldChar w:fldCharType="begin"/>
            </w:r>
            <w:r w:rsidR="002F7F4F">
              <w:rPr>
                <w:noProof/>
                <w:webHidden/>
              </w:rPr>
              <w:instrText xml:space="preserve"> PAGEREF _Toc214462489 \h </w:instrText>
            </w:r>
            <w:r w:rsidR="002F7F4F">
              <w:rPr>
                <w:noProof/>
                <w:webHidden/>
              </w:rPr>
            </w:r>
            <w:r w:rsidR="002F7F4F">
              <w:rPr>
                <w:noProof/>
                <w:webHidden/>
              </w:rPr>
              <w:fldChar w:fldCharType="separate"/>
            </w:r>
            <w:r w:rsidR="002F7F4F">
              <w:rPr>
                <w:noProof/>
                <w:webHidden/>
              </w:rPr>
              <w:t>11</w:t>
            </w:r>
            <w:r w:rsidR="002F7F4F">
              <w:rPr>
                <w:noProof/>
                <w:webHidden/>
              </w:rPr>
              <w:fldChar w:fldCharType="end"/>
            </w:r>
          </w:hyperlink>
        </w:p>
        <w:p w14:paraId="2810CE0D" w14:textId="5DBE5D0F" w:rsidR="002F7F4F" w:rsidRDefault="00852BAA">
          <w:pPr>
            <w:pStyle w:val="TM3"/>
            <w:tabs>
              <w:tab w:val="left" w:pos="1320"/>
              <w:tab w:val="right" w:leader="dot" w:pos="9628"/>
            </w:tabs>
            <w:rPr>
              <w:rFonts w:eastAsiaTheme="minorEastAsia" w:cstheme="minorBidi"/>
              <w:i w:val="0"/>
              <w:iCs w:val="0"/>
              <w:noProof/>
              <w:kern w:val="0"/>
              <w:sz w:val="22"/>
              <w:szCs w:val="22"/>
              <w:lang w:eastAsia="fr-FR" w:bidi="ar-SA"/>
            </w:rPr>
          </w:pPr>
          <w:hyperlink w:anchor="_Toc214462490" w:history="1">
            <w:r w:rsidR="002F7F4F" w:rsidRPr="00A54596">
              <w:rPr>
                <w:rStyle w:val="Lienhypertexte"/>
                <w:noProof/>
              </w:rPr>
              <w:t>III.7.3</w:t>
            </w:r>
            <w:r w:rsidR="002F7F4F">
              <w:rPr>
                <w:rFonts w:eastAsiaTheme="minorEastAsia" w:cstheme="minorBidi"/>
                <w:i w:val="0"/>
                <w:iCs w:val="0"/>
                <w:noProof/>
                <w:kern w:val="0"/>
                <w:sz w:val="22"/>
                <w:szCs w:val="22"/>
                <w:lang w:eastAsia="fr-FR" w:bidi="ar-SA"/>
              </w:rPr>
              <w:tab/>
            </w:r>
            <w:r w:rsidR="002F7F4F" w:rsidRPr="00A54596">
              <w:rPr>
                <w:rStyle w:val="Lienhypertexte"/>
                <w:noProof/>
              </w:rPr>
              <w:t>Traitement des retours usagers</w:t>
            </w:r>
            <w:r w:rsidR="002F7F4F">
              <w:rPr>
                <w:noProof/>
                <w:webHidden/>
              </w:rPr>
              <w:tab/>
            </w:r>
            <w:r w:rsidR="002F7F4F">
              <w:rPr>
                <w:noProof/>
                <w:webHidden/>
              </w:rPr>
              <w:fldChar w:fldCharType="begin"/>
            </w:r>
            <w:r w:rsidR="002F7F4F">
              <w:rPr>
                <w:noProof/>
                <w:webHidden/>
              </w:rPr>
              <w:instrText xml:space="preserve"> PAGEREF _Toc214462490 \h </w:instrText>
            </w:r>
            <w:r w:rsidR="002F7F4F">
              <w:rPr>
                <w:noProof/>
                <w:webHidden/>
              </w:rPr>
            </w:r>
            <w:r w:rsidR="002F7F4F">
              <w:rPr>
                <w:noProof/>
                <w:webHidden/>
              </w:rPr>
              <w:fldChar w:fldCharType="separate"/>
            </w:r>
            <w:r w:rsidR="002F7F4F">
              <w:rPr>
                <w:noProof/>
                <w:webHidden/>
              </w:rPr>
              <w:t>11</w:t>
            </w:r>
            <w:r w:rsidR="002F7F4F">
              <w:rPr>
                <w:noProof/>
                <w:webHidden/>
              </w:rPr>
              <w:fldChar w:fldCharType="end"/>
            </w:r>
          </w:hyperlink>
        </w:p>
        <w:p w14:paraId="27BD9839" w14:textId="37586C50" w:rsidR="002F7F4F" w:rsidRDefault="00852BAA">
          <w:pPr>
            <w:pStyle w:val="TM1"/>
            <w:tabs>
              <w:tab w:val="left" w:pos="440"/>
              <w:tab w:val="right" w:leader="dot" w:pos="9628"/>
            </w:tabs>
            <w:rPr>
              <w:rFonts w:eastAsiaTheme="minorEastAsia" w:cstheme="minorBidi"/>
              <w:b w:val="0"/>
              <w:bCs w:val="0"/>
              <w:caps w:val="0"/>
              <w:noProof/>
              <w:kern w:val="0"/>
              <w:sz w:val="22"/>
              <w:szCs w:val="22"/>
              <w:lang w:eastAsia="fr-FR" w:bidi="ar-SA"/>
            </w:rPr>
          </w:pPr>
          <w:hyperlink w:anchor="_Toc214462491" w:history="1">
            <w:r w:rsidR="002F7F4F" w:rsidRPr="00A54596">
              <w:rPr>
                <w:rStyle w:val="Lienhypertexte"/>
                <w:noProof/>
              </w:rPr>
              <w:t>IV.</w:t>
            </w:r>
            <w:r w:rsidR="002F7F4F">
              <w:rPr>
                <w:rFonts w:eastAsiaTheme="minorEastAsia" w:cstheme="minorBidi"/>
                <w:b w:val="0"/>
                <w:bCs w:val="0"/>
                <w:caps w:val="0"/>
                <w:noProof/>
                <w:kern w:val="0"/>
                <w:sz w:val="22"/>
                <w:szCs w:val="22"/>
                <w:lang w:eastAsia="fr-FR" w:bidi="ar-SA"/>
              </w:rPr>
              <w:tab/>
            </w:r>
            <w:r w:rsidR="002F7F4F" w:rsidRPr="00A54596">
              <w:rPr>
                <w:rStyle w:val="Lienhypertexte"/>
                <w:noProof/>
              </w:rPr>
              <w:t>Plans d’action</w:t>
            </w:r>
            <w:r w:rsidR="002F7F4F">
              <w:rPr>
                <w:noProof/>
                <w:webHidden/>
              </w:rPr>
              <w:tab/>
            </w:r>
            <w:r w:rsidR="002F7F4F">
              <w:rPr>
                <w:noProof/>
                <w:webHidden/>
              </w:rPr>
              <w:fldChar w:fldCharType="begin"/>
            </w:r>
            <w:r w:rsidR="002F7F4F">
              <w:rPr>
                <w:noProof/>
                <w:webHidden/>
              </w:rPr>
              <w:instrText xml:space="preserve"> PAGEREF _Toc214462491 \h </w:instrText>
            </w:r>
            <w:r w:rsidR="002F7F4F">
              <w:rPr>
                <w:noProof/>
                <w:webHidden/>
              </w:rPr>
            </w:r>
            <w:r w:rsidR="002F7F4F">
              <w:rPr>
                <w:noProof/>
                <w:webHidden/>
              </w:rPr>
              <w:fldChar w:fldCharType="separate"/>
            </w:r>
            <w:r w:rsidR="002F7F4F">
              <w:rPr>
                <w:noProof/>
                <w:webHidden/>
              </w:rPr>
              <w:t>13</w:t>
            </w:r>
            <w:r w:rsidR="002F7F4F">
              <w:rPr>
                <w:noProof/>
                <w:webHidden/>
              </w:rPr>
              <w:fldChar w:fldCharType="end"/>
            </w:r>
          </w:hyperlink>
        </w:p>
        <w:p w14:paraId="2F8591D5" w14:textId="705919A9" w:rsidR="002F7F4F" w:rsidRDefault="00852BAA">
          <w:pPr>
            <w:pStyle w:val="TM2"/>
            <w:tabs>
              <w:tab w:val="left" w:pos="880"/>
              <w:tab w:val="right" w:leader="dot" w:pos="9628"/>
            </w:tabs>
            <w:rPr>
              <w:rFonts w:eastAsiaTheme="minorEastAsia" w:cstheme="minorBidi"/>
              <w:smallCaps w:val="0"/>
              <w:noProof/>
              <w:kern w:val="0"/>
              <w:sz w:val="22"/>
              <w:szCs w:val="22"/>
              <w:lang w:eastAsia="fr-FR" w:bidi="ar-SA"/>
            </w:rPr>
          </w:pPr>
          <w:hyperlink w:anchor="_Toc214462492" w:history="1">
            <w:r w:rsidR="002F7F4F" w:rsidRPr="00A54596">
              <w:rPr>
                <w:rStyle w:val="Lienhypertexte"/>
                <w:noProof/>
              </w:rPr>
              <w:t>IV.1 -</w:t>
            </w:r>
            <w:r w:rsidR="002F7F4F">
              <w:rPr>
                <w:rFonts w:eastAsiaTheme="minorEastAsia" w:cstheme="minorBidi"/>
                <w:smallCaps w:val="0"/>
                <w:noProof/>
                <w:kern w:val="0"/>
                <w:sz w:val="22"/>
                <w:szCs w:val="22"/>
                <w:lang w:eastAsia="fr-FR" w:bidi="ar-SA"/>
              </w:rPr>
              <w:tab/>
            </w:r>
            <w:r w:rsidR="002F7F4F" w:rsidRPr="00A54596">
              <w:rPr>
                <w:rStyle w:val="Lienhypertexte"/>
                <w:noProof/>
              </w:rPr>
              <w:t>2026</w:t>
            </w:r>
            <w:r w:rsidR="002F7F4F">
              <w:rPr>
                <w:noProof/>
                <w:webHidden/>
              </w:rPr>
              <w:tab/>
            </w:r>
            <w:r w:rsidR="002F7F4F">
              <w:rPr>
                <w:noProof/>
                <w:webHidden/>
              </w:rPr>
              <w:fldChar w:fldCharType="begin"/>
            </w:r>
            <w:r w:rsidR="002F7F4F">
              <w:rPr>
                <w:noProof/>
                <w:webHidden/>
              </w:rPr>
              <w:instrText xml:space="preserve"> PAGEREF _Toc214462492 \h </w:instrText>
            </w:r>
            <w:r w:rsidR="002F7F4F">
              <w:rPr>
                <w:noProof/>
                <w:webHidden/>
              </w:rPr>
            </w:r>
            <w:r w:rsidR="002F7F4F">
              <w:rPr>
                <w:noProof/>
                <w:webHidden/>
              </w:rPr>
              <w:fldChar w:fldCharType="separate"/>
            </w:r>
            <w:r w:rsidR="002F7F4F">
              <w:rPr>
                <w:noProof/>
                <w:webHidden/>
              </w:rPr>
              <w:t>13</w:t>
            </w:r>
            <w:r w:rsidR="002F7F4F">
              <w:rPr>
                <w:noProof/>
                <w:webHidden/>
              </w:rPr>
              <w:fldChar w:fldCharType="end"/>
            </w:r>
          </w:hyperlink>
        </w:p>
        <w:p w14:paraId="32386B07" w14:textId="4AA95FE6" w:rsidR="002F7F4F" w:rsidRDefault="00852BAA">
          <w:pPr>
            <w:pStyle w:val="TM2"/>
            <w:tabs>
              <w:tab w:val="left" w:pos="880"/>
              <w:tab w:val="right" w:leader="dot" w:pos="9628"/>
            </w:tabs>
            <w:rPr>
              <w:rFonts w:eastAsiaTheme="minorEastAsia" w:cstheme="minorBidi"/>
              <w:smallCaps w:val="0"/>
              <w:noProof/>
              <w:kern w:val="0"/>
              <w:sz w:val="22"/>
              <w:szCs w:val="22"/>
              <w:lang w:eastAsia="fr-FR" w:bidi="ar-SA"/>
            </w:rPr>
          </w:pPr>
          <w:hyperlink w:anchor="_Toc214462493" w:history="1">
            <w:r w:rsidR="002F7F4F" w:rsidRPr="00A54596">
              <w:rPr>
                <w:rStyle w:val="Lienhypertexte"/>
                <w:noProof/>
              </w:rPr>
              <w:t>IV.2 -</w:t>
            </w:r>
            <w:r w:rsidR="002F7F4F">
              <w:rPr>
                <w:rFonts w:eastAsiaTheme="minorEastAsia" w:cstheme="minorBidi"/>
                <w:smallCaps w:val="0"/>
                <w:noProof/>
                <w:kern w:val="0"/>
                <w:sz w:val="22"/>
                <w:szCs w:val="22"/>
                <w:lang w:eastAsia="fr-FR" w:bidi="ar-SA"/>
              </w:rPr>
              <w:tab/>
            </w:r>
            <w:r w:rsidR="002F7F4F" w:rsidRPr="00A54596">
              <w:rPr>
                <w:rStyle w:val="Lienhypertexte"/>
                <w:noProof/>
              </w:rPr>
              <w:t>2027</w:t>
            </w:r>
            <w:r w:rsidR="002F7F4F">
              <w:rPr>
                <w:noProof/>
                <w:webHidden/>
              </w:rPr>
              <w:tab/>
            </w:r>
            <w:r w:rsidR="002F7F4F">
              <w:rPr>
                <w:noProof/>
                <w:webHidden/>
              </w:rPr>
              <w:fldChar w:fldCharType="begin"/>
            </w:r>
            <w:r w:rsidR="002F7F4F">
              <w:rPr>
                <w:noProof/>
                <w:webHidden/>
              </w:rPr>
              <w:instrText xml:space="preserve"> PAGEREF _Toc214462493 \h </w:instrText>
            </w:r>
            <w:r w:rsidR="002F7F4F">
              <w:rPr>
                <w:noProof/>
                <w:webHidden/>
              </w:rPr>
            </w:r>
            <w:r w:rsidR="002F7F4F">
              <w:rPr>
                <w:noProof/>
                <w:webHidden/>
              </w:rPr>
              <w:fldChar w:fldCharType="separate"/>
            </w:r>
            <w:r w:rsidR="002F7F4F">
              <w:rPr>
                <w:noProof/>
                <w:webHidden/>
              </w:rPr>
              <w:t>14</w:t>
            </w:r>
            <w:r w:rsidR="002F7F4F">
              <w:rPr>
                <w:noProof/>
                <w:webHidden/>
              </w:rPr>
              <w:fldChar w:fldCharType="end"/>
            </w:r>
          </w:hyperlink>
        </w:p>
        <w:p w14:paraId="396EAC6E" w14:textId="0FC6B1F5" w:rsidR="002F7F4F" w:rsidRDefault="00852BAA">
          <w:pPr>
            <w:pStyle w:val="TM2"/>
            <w:tabs>
              <w:tab w:val="left" w:pos="880"/>
              <w:tab w:val="right" w:leader="dot" w:pos="9628"/>
            </w:tabs>
            <w:rPr>
              <w:rFonts w:eastAsiaTheme="minorEastAsia" w:cstheme="minorBidi"/>
              <w:smallCaps w:val="0"/>
              <w:noProof/>
              <w:kern w:val="0"/>
              <w:sz w:val="22"/>
              <w:szCs w:val="22"/>
              <w:lang w:eastAsia="fr-FR" w:bidi="ar-SA"/>
            </w:rPr>
          </w:pPr>
          <w:hyperlink w:anchor="_Toc214462494" w:history="1">
            <w:r w:rsidR="002F7F4F" w:rsidRPr="00A54596">
              <w:rPr>
                <w:rStyle w:val="Lienhypertexte"/>
                <w:noProof/>
              </w:rPr>
              <w:t>IV.3 -</w:t>
            </w:r>
            <w:r w:rsidR="002F7F4F">
              <w:rPr>
                <w:rFonts w:eastAsiaTheme="minorEastAsia" w:cstheme="minorBidi"/>
                <w:smallCaps w:val="0"/>
                <w:noProof/>
                <w:kern w:val="0"/>
                <w:sz w:val="22"/>
                <w:szCs w:val="22"/>
                <w:lang w:eastAsia="fr-FR" w:bidi="ar-SA"/>
              </w:rPr>
              <w:tab/>
            </w:r>
            <w:r w:rsidR="002F7F4F" w:rsidRPr="00A54596">
              <w:rPr>
                <w:rStyle w:val="Lienhypertexte"/>
                <w:noProof/>
              </w:rPr>
              <w:t>2028</w:t>
            </w:r>
            <w:r w:rsidR="002F7F4F">
              <w:rPr>
                <w:noProof/>
                <w:webHidden/>
              </w:rPr>
              <w:tab/>
            </w:r>
            <w:r w:rsidR="002F7F4F">
              <w:rPr>
                <w:noProof/>
                <w:webHidden/>
              </w:rPr>
              <w:fldChar w:fldCharType="begin"/>
            </w:r>
            <w:r w:rsidR="002F7F4F">
              <w:rPr>
                <w:noProof/>
                <w:webHidden/>
              </w:rPr>
              <w:instrText xml:space="preserve"> PAGEREF _Toc214462494 \h </w:instrText>
            </w:r>
            <w:r w:rsidR="002F7F4F">
              <w:rPr>
                <w:noProof/>
                <w:webHidden/>
              </w:rPr>
            </w:r>
            <w:r w:rsidR="002F7F4F">
              <w:rPr>
                <w:noProof/>
                <w:webHidden/>
              </w:rPr>
              <w:fldChar w:fldCharType="separate"/>
            </w:r>
            <w:r w:rsidR="002F7F4F">
              <w:rPr>
                <w:noProof/>
                <w:webHidden/>
              </w:rPr>
              <w:t>14</w:t>
            </w:r>
            <w:r w:rsidR="002F7F4F">
              <w:rPr>
                <w:noProof/>
                <w:webHidden/>
              </w:rPr>
              <w:fldChar w:fldCharType="end"/>
            </w:r>
          </w:hyperlink>
        </w:p>
        <w:p w14:paraId="65D9DD56" w14:textId="74F855CB" w:rsidR="002F7F4F" w:rsidRDefault="00852BAA">
          <w:pPr>
            <w:pStyle w:val="TM1"/>
            <w:tabs>
              <w:tab w:val="left" w:pos="440"/>
              <w:tab w:val="right" w:leader="dot" w:pos="9628"/>
            </w:tabs>
            <w:rPr>
              <w:rFonts w:eastAsiaTheme="minorEastAsia" w:cstheme="minorBidi"/>
              <w:b w:val="0"/>
              <w:bCs w:val="0"/>
              <w:caps w:val="0"/>
              <w:noProof/>
              <w:kern w:val="0"/>
              <w:sz w:val="22"/>
              <w:szCs w:val="22"/>
              <w:lang w:eastAsia="fr-FR" w:bidi="ar-SA"/>
            </w:rPr>
          </w:pPr>
          <w:hyperlink w:anchor="_Toc214462495" w:history="1">
            <w:r w:rsidR="002F7F4F" w:rsidRPr="00A54596">
              <w:rPr>
                <w:rStyle w:val="Lienhypertexte"/>
                <w:noProof/>
              </w:rPr>
              <w:t>V.</w:t>
            </w:r>
            <w:r w:rsidR="002F7F4F">
              <w:rPr>
                <w:rFonts w:eastAsiaTheme="minorEastAsia" w:cstheme="minorBidi"/>
                <w:b w:val="0"/>
                <w:bCs w:val="0"/>
                <w:caps w:val="0"/>
                <w:noProof/>
                <w:kern w:val="0"/>
                <w:sz w:val="22"/>
                <w:szCs w:val="22"/>
                <w:lang w:eastAsia="fr-FR" w:bidi="ar-SA"/>
              </w:rPr>
              <w:tab/>
            </w:r>
            <w:r w:rsidR="002F7F4F" w:rsidRPr="00A54596">
              <w:rPr>
                <w:rStyle w:val="Lienhypertexte"/>
                <w:noProof/>
              </w:rPr>
              <w:t>Annexe 1 : état des lieux des actions réalisées</w:t>
            </w:r>
            <w:r w:rsidR="002F7F4F">
              <w:rPr>
                <w:noProof/>
                <w:webHidden/>
              </w:rPr>
              <w:tab/>
            </w:r>
            <w:r w:rsidR="002F7F4F">
              <w:rPr>
                <w:noProof/>
                <w:webHidden/>
              </w:rPr>
              <w:fldChar w:fldCharType="begin"/>
            </w:r>
            <w:r w:rsidR="002F7F4F">
              <w:rPr>
                <w:noProof/>
                <w:webHidden/>
              </w:rPr>
              <w:instrText xml:space="preserve"> PAGEREF _Toc214462495 \h </w:instrText>
            </w:r>
            <w:r w:rsidR="002F7F4F">
              <w:rPr>
                <w:noProof/>
                <w:webHidden/>
              </w:rPr>
            </w:r>
            <w:r w:rsidR="002F7F4F">
              <w:rPr>
                <w:noProof/>
                <w:webHidden/>
              </w:rPr>
              <w:fldChar w:fldCharType="separate"/>
            </w:r>
            <w:r w:rsidR="002F7F4F">
              <w:rPr>
                <w:noProof/>
                <w:webHidden/>
              </w:rPr>
              <w:t>16</w:t>
            </w:r>
            <w:r w:rsidR="002F7F4F">
              <w:rPr>
                <w:noProof/>
                <w:webHidden/>
              </w:rPr>
              <w:fldChar w:fldCharType="end"/>
            </w:r>
          </w:hyperlink>
        </w:p>
        <w:p w14:paraId="720D233A" w14:textId="00F461BA" w:rsidR="002F7F4F" w:rsidRDefault="00852BAA">
          <w:pPr>
            <w:pStyle w:val="TM2"/>
            <w:tabs>
              <w:tab w:val="left" w:pos="880"/>
              <w:tab w:val="right" w:leader="dot" w:pos="9628"/>
            </w:tabs>
            <w:rPr>
              <w:rFonts w:eastAsiaTheme="minorEastAsia" w:cstheme="minorBidi"/>
              <w:smallCaps w:val="0"/>
              <w:noProof/>
              <w:kern w:val="0"/>
              <w:sz w:val="22"/>
              <w:szCs w:val="22"/>
              <w:lang w:eastAsia="fr-FR" w:bidi="ar-SA"/>
            </w:rPr>
          </w:pPr>
          <w:hyperlink w:anchor="_Toc214462496" w:history="1">
            <w:r w:rsidR="002F7F4F" w:rsidRPr="00A54596">
              <w:rPr>
                <w:rStyle w:val="Lienhypertexte"/>
                <w:noProof/>
              </w:rPr>
              <w:t>V.1 -</w:t>
            </w:r>
            <w:r w:rsidR="002F7F4F">
              <w:rPr>
                <w:rFonts w:eastAsiaTheme="minorEastAsia" w:cstheme="minorBidi"/>
                <w:smallCaps w:val="0"/>
                <w:noProof/>
                <w:kern w:val="0"/>
                <w:sz w:val="22"/>
                <w:szCs w:val="22"/>
                <w:lang w:eastAsia="fr-FR" w:bidi="ar-SA"/>
              </w:rPr>
              <w:tab/>
            </w:r>
            <w:r w:rsidR="002F7F4F" w:rsidRPr="00A54596">
              <w:rPr>
                <w:rStyle w:val="Lienhypertexte"/>
                <w:noProof/>
              </w:rPr>
              <w:t>Actions de formation</w:t>
            </w:r>
            <w:r w:rsidR="002F7F4F">
              <w:rPr>
                <w:noProof/>
                <w:webHidden/>
              </w:rPr>
              <w:tab/>
            </w:r>
            <w:r w:rsidR="002F7F4F">
              <w:rPr>
                <w:noProof/>
                <w:webHidden/>
              </w:rPr>
              <w:fldChar w:fldCharType="begin"/>
            </w:r>
            <w:r w:rsidR="002F7F4F">
              <w:rPr>
                <w:noProof/>
                <w:webHidden/>
              </w:rPr>
              <w:instrText xml:space="preserve"> PAGEREF _Toc214462496 \h </w:instrText>
            </w:r>
            <w:r w:rsidR="002F7F4F">
              <w:rPr>
                <w:noProof/>
                <w:webHidden/>
              </w:rPr>
            </w:r>
            <w:r w:rsidR="002F7F4F">
              <w:rPr>
                <w:noProof/>
                <w:webHidden/>
              </w:rPr>
              <w:fldChar w:fldCharType="separate"/>
            </w:r>
            <w:r w:rsidR="002F7F4F">
              <w:rPr>
                <w:noProof/>
                <w:webHidden/>
              </w:rPr>
              <w:t>16</w:t>
            </w:r>
            <w:r w:rsidR="002F7F4F">
              <w:rPr>
                <w:noProof/>
                <w:webHidden/>
              </w:rPr>
              <w:fldChar w:fldCharType="end"/>
            </w:r>
          </w:hyperlink>
        </w:p>
        <w:p w14:paraId="7D0D52FD" w14:textId="074F42BA" w:rsidR="002F7F4F" w:rsidRDefault="00852BAA">
          <w:pPr>
            <w:pStyle w:val="TM3"/>
            <w:tabs>
              <w:tab w:val="left" w:pos="1100"/>
              <w:tab w:val="right" w:leader="dot" w:pos="9628"/>
            </w:tabs>
            <w:rPr>
              <w:rFonts w:eastAsiaTheme="minorEastAsia" w:cstheme="minorBidi"/>
              <w:i w:val="0"/>
              <w:iCs w:val="0"/>
              <w:noProof/>
              <w:kern w:val="0"/>
              <w:sz w:val="22"/>
              <w:szCs w:val="22"/>
              <w:lang w:eastAsia="fr-FR" w:bidi="ar-SA"/>
            </w:rPr>
          </w:pPr>
          <w:hyperlink w:anchor="_Toc214462497" w:history="1">
            <w:r w:rsidR="002F7F4F" w:rsidRPr="00A54596">
              <w:rPr>
                <w:rStyle w:val="Lienhypertexte"/>
                <w:noProof/>
              </w:rPr>
              <w:t>V.1.1</w:t>
            </w:r>
            <w:r w:rsidR="002F7F4F">
              <w:rPr>
                <w:rFonts w:eastAsiaTheme="minorEastAsia" w:cstheme="minorBidi"/>
                <w:i w:val="0"/>
                <w:iCs w:val="0"/>
                <w:noProof/>
                <w:kern w:val="0"/>
                <w:sz w:val="22"/>
                <w:szCs w:val="22"/>
                <w:lang w:eastAsia="fr-FR" w:bidi="ar-SA"/>
              </w:rPr>
              <w:tab/>
            </w:r>
            <w:r w:rsidR="002F7F4F" w:rsidRPr="00A54596">
              <w:rPr>
                <w:rStyle w:val="Lienhypertexte"/>
                <w:noProof/>
              </w:rPr>
              <w:t>En 2025</w:t>
            </w:r>
            <w:r w:rsidR="002F7F4F">
              <w:rPr>
                <w:noProof/>
                <w:webHidden/>
              </w:rPr>
              <w:tab/>
            </w:r>
            <w:r w:rsidR="002F7F4F">
              <w:rPr>
                <w:noProof/>
                <w:webHidden/>
              </w:rPr>
              <w:fldChar w:fldCharType="begin"/>
            </w:r>
            <w:r w:rsidR="002F7F4F">
              <w:rPr>
                <w:noProof/>
                <w:webHidden/>
              </w:rPr>
              <w:instrText xml:space="preserve"> PAGEREF _Toc214462497 \h </w:instrText>
            </w:r>
            <w:r w:rsidR="002F7F4F">
              <w:rPr>
                <w:noProof/>
                <w:webHidden/>
              </w:rPr>
            </w:r>
            <w:r w:rsidR="002F7F4F">
              <w:rPr>
                <w:noProof/>
                <w:webHidden/>
              </w:rPr>
              <w:fldChar w:fldCharType="separate"/>
            </w:r>
            <w:r w:rsidR="002F7F4F">
              <w:rPr>
                <w:noProof/>
                <w:webHidden/>
              </w:rPr>
              <w:t>17</w:t>
            </w:r>
            <w:r w:rsidR="002F7F4F">
              <w:rPr>
                <w:noProof/>
                <w:webHidden/>
              </w:rPr>
              <w:fldChar w:fldCharType="end"/>
            </w:r>
          </w:hyperlink>
        </w:p>
        <w:p w14:paraId="0335BBE9" w14:textId="004D579C" w:rsidR="002F7F4F" w:rsidRDefault="00852BAA">
          <w:pPr>
            <w:pStyle w:val="TM2"/>
            <w:tabs>
              <w:tab w:val="left" w:pos="880"/>
              <w:tab w:val="right" w:leader="dot" w:pos="9628"/>
            </w:tabs>
            <w:rPr>
              <w:rFonts w:eastAsiaTheme="minorEastAsia" w:cstheme="minorBidi"/>
              <w:smallCaps w:val="0"/>
              <w:noProof/>
              <w:kern w:val="0"/>
              <w:sz w:val="22"/>
              <w:szCs w:val="22"/>
              <w:lang w:eastAsia="fr-FR" w:bidi="ar-SA"/>
            </w:rPr>
          </w:pPr>
          <w:hyperlink w:anchor="_Toc214462498" w:history="1">
            <w:r w:rsidR="002F7F4F" w:rsidRPr="00A54596">
              <w:rPr>
                <w:rStyle w:val="Lienhypertexte"/>
                <w:noProof/>
              </w:rPr>
              <w:t>V.2 -</w:t>
            </w:r>
            <w:r w:rsidR="002F7F4F">
              <w:rPr>
                <w:rFonts w:eastAsiaTheme="minorEastAsia" w:cstheme="minorBidi"/>
                <w:smallCaps w:val="0"/>
                <w:noProof/>
                <w:kern w:val="0"/>
                <w:sz w:val="22"/>
                <w:szCs w:val="22"/>
                <w:lang w:eastAsia="fr-FR" w:bidi="ar-SA"/>
              </w:rPr>
              <w:tab/>
            </w:r>
            <w:r w:rsidR="002F7F4F" w:rsidRPr="00A54596">
              <w:rPr>
                <w:rStyle w:val="Lienhypertexte"/>
                <w:noProof/>
              </w:rPr>
              <w:t>Prise en compte du RGAA dans la conception de sites</w:t>
            </w:r>
            <w:r w:rsidR="002F7F4F">
              <w:rPr>
                <w:noProof/>
                <w:webHidden/>
              </w:rPr>
              <w:tab/>
            </w:r>
            <w:r w:rsidR="002F7F4F">
              <w:rPr>
                <w:noProof/>
                <w:webHidden/>
              </w:rPr>
              <w:fldChar w:fldCharType="begin"/>
            </w:r>
            <w:r w:rsidR="002F7F4F">
              <w:rPr>
                <w:noProof/>
                <w:webHidden/>
              </w:rPr>
              <w:instrText xml:space="preserve"> PAGEREF _Toc214462498 \h </w:instrText>
            </w:r>
            <w:r w:rsidR="002F7F4F">
              <w:rPr>
                <w:noProof/>
                <w:webHidden/>
              </w:rPr>
            </w:r>
            <w:r w:rsidR="002F7F4F">
              <w:rPr>
                <w:noProof/>
                <w:webHidden/>
              </w:rPr>
              <w:fldChar w:fldCharType="separate"/>
            </w:r>
            <w:r w:rsidR="002F7F4F">
              <w:rPr>
                <w:noProof/>
                <w:webHidden/>
              </w:rPr>
              <w:t>18</w:t>
            </w:r>
            <w:r w:rsidR="002F7F4F">
              <w:rPr>
                <w:noProof/>
                <w:webHidden/>
              </w:rPr>
              <w:fldChar w:fldCharType="end"/>
            </w:r>
          </w:hyperlink>
        </w:p>
        <w:p w14:paraId="3F7680D5" w14:textId="10707E1D" w:rsidR="002F7F4F" w:rsidRDefault="00852BAA">
          <w:pPr>
            <w:pStyle w:val="TM3"/>
            <w:tabs>
              <w:tab w:val="left" w:pos="1100"/>
              <w:tab w:val="right" w:leader="dot" w:pos="9628"/>
            </w:tabs>
            <w:rPr>
              <w:rFonts w:eastAsiaTheme="minorEastAsia" w:cstheme="minorBidi"/>
              <w:i w:val="0"/>
              <w:iCs w:val="0"/>
              <w:noProof/>
              <w:kern w:val="0"/>
              <w:sz w:val="22"/>
              <w:szCs w:val="22"/>
              <w:lang w:eastAsia="fr-FR" w:bidi="ar-SA"/>
            </w:rPr>
          </w:pPr>
          <w:hyperlink w:anchor="_Toc214462499" w:history="1">
            <w:r w:rsidR="002F7F4F" w:rsidRPr="00A54596">
              <w:rPr>
                <w:rStyle w:val="Lienhypertexte"/>
                <w:noProof/>
              </w:rPr>
              <w:t>V.2.1</w:t>
            </w:r>
            <w:r w:rsidR="002F7F4F">
              <w:rPr>
                <w:rFonts w:eastAsiaTheme="minorEastAsia" w:cstheme="minorBidi"/>
                <w:i w:val="0"/>
                <w:iCs w:val="0"/>
                <w:noProof/>
                <w:kern w:val="0"/>
                <w:sz w:val="22"/>
                <w:szCs w:val="22"/>
                <w:lang w:eastAsia="fr-FR" w:bidi="ar-SA"/>
              </w:rPr>
              <w:tab/>
            </w:r>
            <w:r w:rsidR="002F7F4F" w:rsidRPr="00A54596">
              <w:rPr>
                <w:rStyle w:val="Lienhypertexte"/>
                <w:noProof/>
              </w:rPr>
              <w:t>En 2025</w:t>
            </w:r>
            <w:r w:rsidR="002F7F4F">
              <w:rPr>
                <w:noProof/>
                <w:webHidden/>
              </w:rPr>
              <w:tab/>
            </w:r>
            <w:r w:rsidR="002F7F4F">
              <w:rPr>
                <w:noProof/>
                <w:webHidden/>
              </w:rPr>
              <w:fldChar w:fldCharType="begin"/>
            </w:r>
            <w:r w:rsidR="002F7F4F">
              <w:rPr>
                <w:noProof/>
                <w:webHidden/>
              </w:rPr>
              <w:instrText xml:space="preserve"> PAGEREF _Toc214462499 \h </w:instrText>
            </w:r>
            <w:r w:rsidR="002F7F4F">
              <w:rPr>
                <w:noProof/>
                <w:webHidden/>
              </w:rPr>
            </w:r>
            <w:r w:rsidR="002F7F4F">
              <w:rPr>
                <w:noProof/>
                <w:webHidden/>
              </w:rPr>
              <w:fldChar w:fldCharType="separate"/>
            </w:r>
            <w:r w:rsidR="002F7F4F">
              <w:rPr>
                <w:noProof/>
                <w:webHidden/>
              </w:rPr>
              <w:t>18</w:t>
            </w:r>
            <w:r w:rsidR="002F7F4F">
              <w:rPr>
                <w:noProof/>
                <w:webHidden/>
              </w:rPr>
              <w:fldChar w:fldCharType="end"/>
            </w:r>
          </w:hyperlink>
        </w:p>
        <w:p w14:paraId="40394525" w14:textId="6DA7C28C" w:rsidR="002F7F4F" w:rsidRDefault="00852BAA">
          <w:pPr>
            <w:pStyle w:val="TM2"/>
            <w:tabs>
              <w:tab w:val="left" w:pos="880"/>
              <w:tab w:val="right" w:leader="dot" w:pos="9628"/>
            </w:tabs>
            <w:rPr>
              <w:rFonts w:eastAsiaTheme="minorEastAsia" w:cstheme="minorBidi"/>
              <w:smallCaps w:val="0"/>
              <w:noProof/>
              <w:kern w:val="0"/>
              <w:sz w:val="22"/>
              <w:szCs w:val="22"/>
              <w:lang w:eastAsia="fr-FR" w:bidi="ar-SA"/>
            </w:rPr>
          </w:pPr>
          <w:hyperlink w:anchor="_Toc214462500" w:history="1">
            <w:r w:rsidR="002F7F4F" w:rsidRPr="00A54596">
              <w:rPr>
                <w:rStyle w:val="Lienhypertexte"/>
                <w:noProof/>
              </w:rPr>
              <w:t>V.3 -</w:t>
            </w:r>
            <w:r w:rsidR="002F7F4F">
              <w:rPr>
                <w:rFonts w:eastAsiaTheme="minorEastAsia" w:cstheme="minorBidi"/>
                <w:smallCaps w:val="0"/>
                <w:noProof/>
                <w:kern w:val="0"/>
                <w:sz w:val="22"/>
                <w:szCs w:val="22"/>
                <w:lang w:eastAsia="fr-FR" w:bidi="ar-SA"/>
              </w:rPr>
              <w:tab/>
            </w:r>
            <w:r w:rsidR="002F7F4F" w:rsidRPr="00A54596">
              <w:rPr>
                <w:rStyle w:val="Lienhypertexte"/>
                <w:noProof/>
              </w:rPr>
              <w:t>Éléments budgétaires</w:t>
            </w:r>
            <w:r w:rsidR="002F7F4F">
              <w:rPr>
                <w:noProof/>
                <w:webHidden/>
              </w:rPr>
              <w:tab/>
            </w:r>
            <w:r w:rsidR="002F7F4F">
              <w:rPr>
                <w:noProof/>
                <w:webHidden/>
              </w:rPr>
              <w:fldChar w:fldCharType="begin"/>
            </w:r>
            <w:r w:rsidR="002F7F4F">
              <w:rPr>
                <w:noProof/>
                <w:webHidden/>
              </w:rPr>
              <w:instrText xml:space="preserve"> PAGEREF _Toc214462500 \h </w:instrText>
            </w:r>
            <w:r w:rsidR="002F7F4F">
              <w:rPr>
                <w:noProof/>
                <w:webHidden/>
              </w:rPr>
            </w:r>
            <w:r w:rsidR="002F7F4F">
              <w:rPr>
                <w:noProof/>
                <w:webHidden/>
              </w:rPr>
              <w:fldChar w:fldCharType="separate"/>
            </w:r>
            <w:r w:rsidR="002F7F4F">
              <w:rPr>
                <w:noProof/>
                <w:webHidden/>
              </w:rPr>
              <w:t>19</w:t>
            </w:r>
            <w:r w:rsidR="002F7F4F">
              <w:rPr>
                <w:noProof/>
                <w:webHidden/>
              </w:rPr>
              <w:fldChar w:fldCharType="end"/>
            </w:r>
          </w:hyperlink>
        </w:p>
        <w:p w14:paraId="701E7E25" w14:textId="2F4ABEA3" w:rsidR="002F7F4F" w:rsidRDefault="00852BAA">
          <w:pPr>
            <w:pStyle w:val="TM1"/>
            <w:tabs>
              <w:tab w:val="left" w:pos="660"/>
              <w:tab w:val="right" w:leader="dot" w:pos="9628"/>
            </w:tabs>
            <w:rPr>
              <w:rFonts w:eastAsiaTheme="minorEastAsia" w:cstheme="minorBidi"/>
              <w:b w:val="0"/>
              <w:bCs w:val="0"/>
              <w:caps w:val="0"/>
              <w:noProof/>
              <w:kern w:val="0"/>
              <w:sz w:val="22"/>
              <w:szCs w:val="22"/>
              <w:lang w:eastAsia="fr-FR" w:bidi="ar-SA"/>
            </w:rPr>
          </w:pPr>
          <w:hyperlink w:anchor="_Toc214462501" w:history="1">
            <w:r w:rsidR="002F7F4F" w:rsidRPr="00A54596">
              <w:rPr>
                <w:rStyle w:val="Lienhypertexte"/>
                <w:noProof/>
              </w:rPr>
              <w:t>VI.</w:t>
            </w:r>
            <w:r w:rsidR="002F7F4F">
              <w:rPr>
                <w:rFonts w:eastAsiaTheme="minorEastAsia" w:cstheme="minorBidi"/>
                <w:b w:val="0"/>
                <w:bCs w:val="0"/>
                <w:caps w:val="0"/>
                <w:noProof/>
                <w:kern w:val="0"/>
                <w:sz w:val="22"/>
                <w:szCs w:val="22"/>
                <w:lang w:eastAsia="fr-FR" w:bidi="ar-SA"/>
              </w:rPr>
              <w:tab/>
            </w:r>
            <w:r w:rsidR="002F7F4F" w:rsidRPr="00A54596">
              <w:rPr>
                <w:rStyle w:val="Lienhypertexte"/>
                <w:noProof/>
              </w:rPr>
              <w:t>Annexe 2 : Recensement des sites, applications et services</w:t>
            </w:r>
            <w:r w:rsidR="002F7F4F">
              <w:rPr>
                <w:noProof/>
                <w:webHidden/>
              </w:rPr>
              <w:tab/>
            </w:r>
            <w:r w:rsidR="002F7F4F">
              <w:rPr>
                <w:noProof/>
                <w:webHidden/>
              </w:rPr>
              <w:fldChar w:fldCharType="begin"/>
            </w:r>
            <w:r w:rsidR="002F7F4F">
              <w:rPr>
                <w:noProof/>
                <w:webHidden/>
              </w:rPr>
              <w:instrText xml:space="preserve"> PAGEREF _Toc214462501 \h </w:instrText>
            </w:r>
            <w:r w:rsidR="002F7F4F">
              <w:rPr>
                <w:noProof/>
                <w:webHidden/>
              </w:rPr>
            </w:r>
            <w:r w:rsidR="002F7F4F">
              <w:rPr>
                <w:noProof/>
                <w:webHidden/>
              </w:rPr>
              <w:fldChar w:fldCharType="separate"/>
            </w:r>
            <w:r w:rsidR="002F7F4F">
              <w:rPr>
                <w:noProof/>
                <w:webHidden/>
              </w:rPr>
              <w:t>19</w:t>
            </w:r>
            <w:r w:rsidR="002F7F4F">
              <w:rPr>
                <w:noProof/>
                <w:webHidden/>
              </w:rPr>
              <w:fldChar w:fldCharType="end"/>
            </w:r>
          </w:hyperlink>
        </w:p>
        <w:p w14:paraId="5CDA4C3F" w14:textId="103E991A" w:rsidR="002F7F4F" w:rsidRDefault="00852BAA">
          <w:pPr>
            <w:pStyle w:val="TM2"/>
            <w:tabs>
              <w:tab w:val="left" w:pos="880"/>
              <w:tab w:val="right" w:leader="dot" w:pos="9628"/>
            </w:tabs>
            <w:rPr>
              <w:rFonts w:eastAsiaTheme="minorEastAsia" w:cstheme="minorBidi"/>
              <w:smallCaps w:val="0"/>
              <w:noProof/>
              <w:kern w:val="0"/>
              <w:sz w:val="22"/>
              <w:szCs w:val="22"/>
              <w:lang w:eastAsia="fr-FR" w:bidi="ar-SA"/>
            </w:rPr>
          </w:pPr>
          <w:hyperlink w:anchor="_Toc214462502" w:history="1">
            <w:r w:rsidR="002F7F4F" w:rsidRPr="00A54596">
              <w:rPr>
                <w:rStyle w:val="Lienhypertexte"/>
                <w:noProof/>
              </w:rPr>
              <w:t>VI.1 -</w:t>
            </w:r>
            <w:r w:rsidR="002F7F4F">
              <w:rPr>
                <w:rFonts w:eastAsiaTheme="minorEastAsia" w:cstheme="minorBidi"/>
                <w:smallCaps w:val="0"/>
                <w:noProof/>
                <w:kern w:val="0"/>
                <w:sz w:val="22"/>
                <w:szCs w:val="22"/>
                <w:lang w:eastAsia="fr-FR" w:bidi="ar-SA"/>
              </w:rPr>
              <w:tab/>
            </w:r>
            <w:r w:rsidR="002F7F4F" w:rsidRPr="00A54596">
              <w:rPr>
                <w:rStyle w:val="Lienhypertexte"/>
                <w:noProof/>
              </w:rPr>
              <w:t>Périmètre du service web et multimédia</w:t>
            </w:r>
            <w:r w:rsidR="002F7F4F">
              <w:rPr>
                <w:noProof/>
                <w:webHidden/>
              </w:rPr>
              <w:tab/>
            </w:r>
            <w:r w:rsidR="002F7F4F">
              <w:rPr>
                <w:noProof/>
                <w:webHidden/>
              </w:rPr>
              <w:fldChar w:fldCharType="begin"/>
            </w:r>
            <w:r w:rsidR="002F7F4F">
              <w:rPr>
                <w:noProof/>
                <w:webHidden/>
              </w:rPr>
              <w:instrText xml:space="preserve"> PAGEREF _Toc214462502 \h </w:instrText>
            </w:r>
            <w:r w:rsidR="002F7F4F">
              <w:rPr>
                <w:noProof/>
                <w:webHidden/>
              </w:rPr>
            </w:r>
            <w:r w:rsidR="002F7F4F">
              <w:rPr>
                <w:noProof/>
                <w:webHidden/>
              </w:rPr>
              <w:fldChar w:fldCharType="separate"/>
            </w:r>
            <w:r w:rsidR="002F7F4F">
              <w:rPr>
                <w:noProof/>
                <w:webHidden/>
              </w:rPr>
              <w:t>19</w:t>
            </w:r>
            <w:r w:rsidR="002F7F4F">
              <w:rPr>
                <w:noProof/>
                <w:webHidden/>
              </w:rPr>
              <w:fldChar w:fldCharType="end"/>
            </w:r>
          </w:hyperlink>
        </w:p>
        <w:p w14:paraId="3DAC0200" w14:textId="043BFB6C" w:rsidR="002F7F4F" w:rsidRDefault="00852BAA">
          <w:pPr>
            <w:pStyle w:val="TM2"/>
            <w:tabs>
              <w:tab w:val="left" w:pos="880"/>
              <w:tab w:val="right" w:leader="dot" w:pos="9628"/>
            </w:tabs>
            <w:rPr>
              <w:rFonts w:eastAsiaTheme="minorEastAsia" w:cstheme="minorBidi"/>
              <w:smallCaps w:val="0"/>
              <w:noProof/>
              <w:kern w:val="0"/>
              <w:sz w:val="22"/>
              <w:szCs w:val="22"/>
              <w:lang w:eastAsia="fr-FR" w:bidi="ar-SA"/>
            </w:rPr>
          </w:pPr>
          <w:hyperlink w:anchor="_Toc214462503" w:history="1">
            <w:r w:rsidR="002F7F4F" w:rsidRPr="00A54596">
              <w:rPr>
                <w:rStyle w:val="Lienhypertexte"/>
                <w:noProof/>
              </w:rPr>
              <w:t>VI.2 -</w:t>
            </w:r>
            <w:r w:rsidR="002F7F4F">
              <w:rPr>
                <w:rFonts w:eastAsiaTheme="minorEastAsia" w:cstheme="minorBidi"/>
                <w:smallCaps w:val="0"/>
                <w:noProof/>
                <w:kern w:val="0"/>
                <w:sz w:val="22"/>
                <w:szCs w:val="22"/>
                <w:lang w:eastAsia="fr-FR" w:bidi="ar-SA"/>
              </w:rPr>
              <w:tab/>
            </w:r>
            <w:r w:rsidR="002F7F4F" w:rsidRPr="00A54596">
              <w:rPr>
                <w:rStyle w:val="Lienhypertexte"/>
                <w:noProof/>
              </w:rPr>
              <w:t>Autres sites web, applications</w:t>
            </w:r>
            <w:r w:rsidR="002F7F4F">
              <w:rPr>
                <w:noProof/>
                <w:webHidden/>
              </w:rPr>
              <w:tab/>
            </w:r>
            <w:r w:rsidR="002F7F4F">
              <w:rPr>
                <w:noProof/>
                <w:webHidden/>
              </w:rPr>
              <w:fldChar w:fldCharType="begin"/>
            </w:r>
            <w:r w:rsidR="002F7F4F">
              <w:rPr>
                <w:noProof/>
                <w:webHidden/>
              </w:rPr>
              <w:instrText xml:space="preserve"> PAGEREF _Toc214462503 \h </w:instrText>
            </w:r>
            <w:r w:rsidR="002F7F4F">
              <w:rPr>
                <w:noProof/>
                <w:webHidden/>
              </w:rPr>
            </w:r>
            <w:r w:rsidR="002F7F4F">
              <w:rPr>
                <w:noProof/>
                <w:webHidden/>
              </w:rPr>
              <w:fldChar w:fldCharType="separate"/>
            </w:r>
            <w:r w:rsidR="002F7F4F">
              <w:rPr>
                <w:noProof/>
                <w:webHidden/>
              </w:rPr>
              <w:t>20</w:t>
            </w:r>
            <w:r w:rsidR="002F7F4F">
              <w:rPr>
                <w:noProof/>
                <w:webHidden/>
              </w:rPr>
              <w:fldChar w:fldCharType="end"/>
            </w:r>
          </w:hyperlink>
        </w:p>
        <w:p w14:paraId="0AD5902C" w14:textId="1D547368" w:rsidR="002F7F4F" w:rsidRDefault="00852BAA">
          <w:pPr>
            <w:pStyle w:val="TM3"/>
            <w:tabs>
              <w:tab w:val="left" w:pos="1320"/>
              <w:tab w:val="right" w:leader="dot" w:pos="9628"/>
            </w:tabs>
            <w:rPr>
              <w:rFonts w:eastAsiaTheme="minorEastAsia" w:cstheme="minorBidi"/>
              <w:i w:val="0"/>
              <w:iCs w:val="0"/>
              <w:noProof/>
              <w:kern w:val="0"/>
              <w:sz w:val="22"/>
              <w:szCs w:val="22"/>
              <w:lang w:eastAsia="fr-FR" w:bidi="ar-SA"/>
            </w:rPr>
          </w:pPr>
          <w:hyperlink w:anchor="_Toc214462504" w:history="1">
            <w:r w:rsidR="002F7F4F" w:rsidRPr="00A54596">
              <w:rPr>
                <w:rStyle w:val="Lienhypertexte"/>
                <w:noProof/>
              </w:rPr>
              <w:t>VI.2.1</w:t>
            </w:r>
            <w:r w:rsidR="002F7F4F">
              <w:rPr>
                <w:rFonts w:eastAsiaTheme="minorEastAsia" w:cstheme="minorBidi"/>
                <w:i w:val="0"/>
                <w:iCs w:val="0"/>
                <w:noProof/>
                <w:kern w:val="0"/>
                <w:sz w:val="22"/>
                <w:szCs w:val="22"/>
                <w:lang w:eastAsia="fr-FR" w:bidi="ar-SA"/>
              </w:rPr>
              <w:tab/>
            </w:r>
            <w:r w:rsidR="002F7F4F" w:rsidRPr="00A54596">
              <w:rPr>
                <w:rStyle w:val="Lienhypertexte"/>
                <w:noProof/>
              </w:rPr>
              <w:t>Applications métiers et ressources</w:t>
            </w:r>
            <w:r w:rsidR="002F7F4F">
              <w:rPr>
                <w:noProof/>
                <w:webHidden/>
              </w:rPr>
              <w:tab/>
            </w:r>
            <w:r w:rsidR="002F7F4F">
              <w:rPr>
                <w:noProof/>
                <w:webHidden/>
              </w:rPr>
              <w:fldChar w:fldCharType="begin"/>
            </w:r>
            <w:r w:rsidR="002F7F4F">
              <w:rPr>
                <w:noProof/>
                <w:webHidden/>
              </w:rPr>
              <w:instrText xml:space="preserve"> PAGEREF _Toc214462504 \h </w:instrText>
            </w:r>
            <w:r w:rsidR="002F7F4F">
              <w:rPr>
                <w:noProof/>
                <w:webHidden/>
              </w:rPr>
            </w:r>
            <w:r w:rsidR="002F7F4F">
              <w:rPr>
                <w:noProof/>
                <w:webHidden/>
              </w:rPr>
              <w:fldChar w:fldCharType="separate"/>
            </w:r>
            <w:r w:rsidR="002F7F4F">
              <w:rPr>
                <w:noProof/>
                <w:webHidden/>
              </w:rPr>
              <w:t>20</w:t>
            </w:r>
            <w:r w:rsidR="002F7F4F">
              <w:rPr>
                <w:noProof/>
                <w:webHidden/>
              </w:rPr>
              <w:fldChar w:fldCharType="end"/>
            </w:r>
          </w:hyperlink>
        </w:p>
        <w:p w14:paraId="3E08971D" w14:textId="55235D3E" w:rsidR="002F7F4F" w:rsidRDefault="00852BAA">
          <w:pPr>
            <w:pStyle w:val="TM1"/>
            <w:tabs>
              <w:tab w:val="left" w:pos="660"/>
              <w:tab w:val="right" w:leader="dot" w:pos="9628"/>
            </w:tabs>
            <w:rPr>
              <w:rFonts w:eastAsiaTheme="minorEastAsia" w:cstheme="minorBidi"/>
              <w:b w:val="0"/>
              <w:bCs w:val="0"/>
              <w:caps w:val="0"/>
              <w:noProof/>
              <w:kern w:val="0"/>
              <w:sz w:val="22"/>
              <w:szCs w:val="22"/>
              <w:lang w:eastAsia="fr-FR" w:bidi="ar-SA"/>
            </w:rPr>
          </w:pPr>
          <w:hyperlink w:anchor="_Toc214462505" w:history="1">
            <w:r w:rsidR="002F7F4F" w:rsidRPr="00A54596">
              <w:rPr>
                <w:rStyle w:val="Lienhypertexte"/>
                <w:noProof/>
              </w:rPr>
              <w:t>VII.</w:t>
            </w:r>
            <w:r w:rsidR="002F7F4F">
              <w:rPr>
                <w:rFonts w:eastAsiaTheme="minorEastAsia" w:cstheme="minorBidi"/>
                <w:b w:val="0"/>
                <w:bCs w:val="0"/>
                <w:caps w:val="0"/>
                <w:noProof/>
                <w:kern w:val="0"/>
                <w:sz w:val="22"/>
                <w:szCs w:val="22"/>
                <w:lang w:eastAsia="fr-FR" w:bidi="ar-SA"/>
              </w:rPr>
              <w:tab/>
            </w:r>
            <w:r w:rsidR="002F7F4F" w:rsidRPr="00A54596">
              <w:rPr>
                <w:rStyle w:val="Lienhypertexte"/>
                <w:noProof/>
              </w:rPr>
              <w:t>Annexe 3 : Liste des services numériques retenus pour mise en conformité</w:t>
            </w:r>
            <w:r w:rsidR="002F7F4F">
              <w:rPr>
                <w:noProof/>
                <w:webHidden/>
              </w:rPr>
              <w:tab/>
            </w:r>
            <w:r w:rsidR="002F7F4F">
              <w:rPr>
                <w:noProof/>
                <w:webHidden/>
              </w:rPr>
              <w:fldChar w:fldCharType="begin"/>
            </w:r>
            <w:r w:rsidR="002F7F4F">
              <w:rPr>
                <w:noProof/>
                <w:webHidden/>
              </w:rPr>
              <w:instrText xml:space="preserve"> PAGEREF _Toc214462505 \h </w:instrText>
            </w:r>
            <w:r w:rsidR="002F7F4F">
              <w:rPr>
                <w:noProof/>
                <w:webHidden/>
              </w:rPr>
            </w:r>
            <w:r w:rsidR="002F7F4F">
              <w:rPr>
                <w:noProof/>
                <w:webHidden/>
              </w:rPr>
              <w:fldChar w:fldCharType="separate"/>
            </w:r>
            <w:r w:rsidR="002F7F4F">
              <w:rPr>
                <w:noProof/>
                <w:webHidden/>
              </w:rPr>
              <w:t>21</w:t>
            </w:r>
            <w:r w:rsidR="002F7F4F">
              <w:rPr>
                <w:noProof/>
                <w:webHidden/>
              </w:rPr>
              <w:fldChar w:fldCharType="end"/>
            </w:r>
          </w:hyperlink>
        </w:p>
        <w:p w14:paraId="6A9A170A" w14:textId="12F37A12" w:rsidR="002F7F4F" w:rsidRDefault="00852BAA">
          <w:pPr>
            <w:pStyle w:val="TM2"/>
            <w:tabs>
              <w:tab w:val="left" w:pos="1100"/>
              <w:tab w:val="right" w:leader="dot" w:pos="9628"/>
            </w:tabs>
            <w:rPr>
              <w:rFonts w:eastAsiaTheme="minorEastAsia" w:cstheme="minorBidi"/>
              <w:smallCaps w:val="0"/>
              <w:noProof/>
              <w:kern w:val="0"/>
              <w:sz w:val="22"/>
              <w:szCs w:val="22"/>
              <w:lang w:eastAsia="fr-FR" w:bidi="ar-SA"/>
            </w:rPr>
          </w:pPr>
          <w:hyperlink w:anchor="_Toc214462506" w:history="1">
            <w:r w:rsidR="002F7F4F" w:rsidRPr="00A54596">
              <w:rPr>
                <w:rStyle w:val="Lienhypertexte"/>
                <w:noProof/>
              </w:rPr>
              <w:t>VII.1 -</w:t>
            </w:r>
            <w:r w:rsidR="002F7F4F">
              <w:rPr>
                <w:rFonts w:eastAsiaTheme="minorEastAsia" w:cstheme="minorBidi"/>
                <w:smallCaps w:val="0"/>
                <w:noProof/>
                <w:kern w:val="0"/>
                <w:sz w:val="22"/>
                <w:szCs w:val="22"/>
                <w:lang w:eastAsia="fr-FR" w:bidi="ar-SA"/>
              </w:rPr>
              <w:tab/>
            </w:r>
            <w:r w:rsidR="002F7F4F" w:rsidRPr="00A54596">
              <w:rPr>
                <w:rStyle w:val="Lienhypertexte"/>
                <w:noProof/>
              </w:rPr>
              <w:t>Évaluation et priorisation</w:t>
            </w:r>
            <w:r w:rsidR="002F7F4F">
              <w:rPr>
                <w:noProof/>
                <w:webHidden/>
              </w:rPr>
              <w:tab/>
            </w:r>
            <w:r w:rsidR="002F7F4F">
              <w:rPr>
                <w:noProof/>
                <w:webHidden/>
              </w:rPr>
              <w:fldChar w:fldCharType="begin"/>
            </w:r>
            <w:r w:rsidR="002F7F4F">
              <w:rPr>
                <w:noProof/>
                <w:webHidden/>
              </w:rPr>
              <w:instrText xml:space="preserve"> PAGEREF _Toc214462506 \h </w:instrText>
            </w:r>
            <w:r w:rsidR="002F7F4F">
              <w:rPr>
                <w:noProof/>
                <w:webHidden/>
              </w:rPr>
            </w:r>
            <w:r w:rsidR="002F7F4F">
              <w:rPr>
                <w:noProof/>
                <w:webHidden/>
              </w:rPr>
              <w:fldChar w:fldCharType="separate"/>
            </w:r>
            <w:r w:rsidR="002F7F4F">
              <w:rPr>
                <w:noProof/>
                <w:webHidden/>
              </w:rPr>
              <w:t>21</w:t>
            </w:r>
            <w:r w:rsidR="002F7F4F">
              <w:rPr>
                <w:noProof/>
                <w:webHidden/>
              </w:rPr>
              <w:fldChar w:fldCharType="end"/>
            </w:r>
          </w:hyperlink>
        </w:p>
        <w:p w14:paraId="6AEA2EA7" w14:textId="1AABCBFD" w:rsidR="002F7F4F" w:rsidRDefault="002F7F4F">
          <w:r>
            <w:rPr>
              <w:b/>
              <w:bCs/>
            </w:rPr>
            <w:fldChar w:fldCharType="end"/>
          </w:r>
        </w:p>
      </w:sdtContent>
    </w:sdt>
    <w:p w14:paraId="1E6F2CEB" w14:textId="61E0E247" w:rsidR="002F7F4F" w:rsidRDefault="002F7F4F">
      <w:pPr>
        <w:jc w:val="right"/>
        <w:rPr>
          <w:sz w:val="18"/>
          <w:szCs w:val="18"/>
        </w:rPr>
      </w:pPr>
      <w:r>
        <w:rPr>
          <w:sz w:val="18"/>
          <w:szCs w:val="18"/>
        </w:rPr>
        <w:br w:type="page"/>
      </w:r>
    </w:p>
    <w:p w14:paraId="0B55990F" w14:textId="77777777" w:rsidR="00E85C0F" w:rsidRDefault="00E85C0F">
      <w:pPr>
        <w:jc w:val="right"/>
        <w:rPr>
          <w:sz w:val="18"/>
          <w:szCs w:val="18"/>
        </w:rPr>
      </w:pPr>
    </w:p>
    <w:p w14:paraId="05B34AEA" w14:textId="6611C4CC" w:rsidR="00E85C0F" w:rsidRDefault="00C02AAC">
      <w:pPr>
        <w:pStyle w:val="Titre1"/>
      </w:pPr>
      <w:bookmarkStart w:id="0" w:name="_Toc214462468"/>
      <w:r>
        <w:t>Introduction</w:t>
      </w:r>
      <w:bookmarkEnd w:id="0"/>
    </w:p>
    <w:p w14:paraId="4A4DA236" w14:textId="77777777" w:rsidR="00E85C0F" w:rsidRDefault="00C02AAC">
      <w:pPr>
        <w:pStyle w:val="Titre2"/>
        <w:ind w:firstLine="0"/>
      </w:pPr>
      <w:bookmarkStart w:id="1" w:name="_Toc214462469"/>
      <w:r>
        <w:t>Qu’est-ce que l’accessibilité numérique ?</w:t>
      </w:r>
      <w:bookmarkEnd w:id="1"/>
    </w:p>
    <w:p w14:paraId="1F54DC18" w14:textId="77777777" w:rsidR="00E85C0F" w:rsidRDefault="00C02AAC">
      <w:r>
        <w:t>L’accessibilité numérique signifie que les sites web, les outils et les ressources sont conçus et développés de façon à ce que les personnes en situation de handicap puissent les utiliser. Plus précisément, les personnes peuvent percevoir, comprendre, naviguer et interagir avec les ressources numériques.</w:t>
      </w:r>
    </w:p>
    <w:p w14:paraId="3FF88077" w14:textId="77777777" w:rsidR="00E85C0F" w:rsidRDefault="00C02AAC">
      <w:pPr>
        <w:pStyle w:val="Titre2"/>
        <w:ind w:firstLine="0"/>
      </w:pPr>
      <w:bookmarkStart w:id="2" w:name="_Toc214462470"/>
      <w:r>
        <w:t>Cadre légal</w:t>
      </w:r>
      <w:bookmarkEnd w:id="2"/>
    </w:p>
    <w:p w14:paraId="3B6529E6" w14:textId="77777777" w:rsidR="00E85C0F" w:rsidRDefault="00852BAA">
      <w:hyperlink r:id="rId9" w:tgtFrame="_top">
        <w:r w:rsidR="00C02AAC">
          <w:rPr>
            <w:rStyle w:val="Lienhypertexte"/>
          </w:rPr>
          <w:t>L’article 47 de la loi n°2005-102 du 11 février 2005</w:t>
        </w:r>
      </w:hyperlink>
      <w:r w:rsidR="00C02AAC">
        <w:t xml:space="preserve">  pour l’égalité des droits et des chances, la participation et la citoyenneté des personnes handicapées, complété par l’</w:t>
      </w:r>
      <w:hyperlink r:id="rId10" w:tgtFrame="_top">
        <w:r w:rsidR="00C02AAC">
          <w:rPr>
            <w:rStyle w:val="Lienhypertexte"/>
          </w:rPr>
          <w:t>article 106 de la loi pour une république numérique</w:t>
        </w:r>
      </w:hyperlink>
      <w:r w:rsidR="00C02AAC">
        <w:t>, rend obligatoire à tout service de communication publique en ligne d’être accessible à tous.</w:t>
      </w:r>
    </w:p>
    <w:p w14:paraId="33054023" w14:textId="77777777" w:rsidR="00E85C0F" w:rsidRDefault="00C02AAC">
      <w:pPr>
        <w:rPr>
          <w:color w:val="000000"/>
          <w:sz w:val="24"/>
        </w:rPr>
      </w:pPr>
      <w:r>
        <w:rPr>
          <w:color w:val="000000"/>
          <w:szCs w:val="22"/>
        </w:rPr>
        <w:t xml:space="preserve">Depuis août 2019, l’accessibilité numérique est inscrite dans le </w:t>
      </w:r>
      <w:hyperlink r:id="rId11" w:tgtFrame="_top">
        <w:r>
          <w:rPr>
            <w:rStyle w:val="Lienhypertexte"/>
            <w:color w:val="000000"/>
            <w:szCs w:val="22"/>
            <w:u w:val="none"/>
          </w:rPr>
          <w:t>code du travail</w:t>
        </w:r>
      </w:hyperlink>
      <w:r>
        <w:rPr>
          <w:color w:val="000000"/>
          <w:szCs w:val="22"/>
        </w:rPr>
        <w:t>. Elle est devenue une obligation pour tous les employeurs (pour les intranets, applications métiers et SI de l’entreprise)</w:t>
      </w:r>
    </w:p>
    <w:p w14:paraId="6B7A418C" w14:textId="3FCFBA8E" w:rsidR="00E85C0F" w:rsidRDefault="00C02AAC">
      <w:r>
        <w:rPr>
          <w:color w:val="000000"/>
          <w:szCs w:val="22"/>
        </w:rPr>
        <w:t xml:space="preserve">L’ ordonnance du 6 septembre 2023 durcit les pénalités en cas de </w:t>
      </w:r>
      <w:r w:rsidR="003C13E6">
        <w:rPr>
          <w:color w:val="000000"/>
          <w:szCs w:val="22"/>
        </w:rPr>
        <w:t>non-respect</w:t>
      </w:r>
      <w:r>
        <w:rPr>
          <w:color w:val="000000"/>
          <w:szCs w:val="22"/>
        </w:rPr>
        <w:t xml:space="preserve"> des obligations</w:t>
      </w:r>
      <w:r>
        <w:rPr>
          <w:rStyle w:val="Appelnotedebasdep"/>
          <w:color w:val="000000"/>
          <w:szCs w:val="22"/>
        </w:rPr>
        <w:footnoteReference w:id="1"/>
      </w:r>
      <w:r>
        <w:rPr>
          <w:color w:val="000000"/>
          <w:szCs w:val="22"/>
        </w:rPr>
        <w:t>. L’ARCOM (Autorité de régulation de la communication audiovisuelle et numérique) a été nommée comme organisme de contrôle pour le secteur public .</w:t>
      </w:r>
    </w:p>
    <w:p w14:paraId="4C3198F6" w14:textId="77777777" w:rsidR="00E85C0F" w:rsidRDefault="00C02AAC">
      <w:r>
        <w:t xml:space="preserve">Ce schéma pluriannuel d'accessibilité numérique (SPAN) décrit la manière dont l'Université de Lille aborde l'accessibilité numérique. Il inclut un état des lieux et des plans d'action annuels qui ont pour objectif : </w:t>
      </w:r>
    </w:p>
    <w:p w14:paraId="25C5EE02" w14:textId="77777777" w:rsidR="00E85C0F" w:rsidRDefault="00C02AAC">
      <w:pPr>
        <w:numPr>
          <w:ilvl w:val="0"/>
          <w:numId w:val="2"/>
        </w:numPr>
      </w:pPr>
      <w:r>
        <w:t xml:space="preserve">de respecter les règles du référentiel général d’amélioration de l’accessibilité </w:t>
      </w:r>
      <w:r>
        <w:br/>
        <w:t>(</w:t>
      </w:r>
      <w:hyperlink r:id="rId12">
        <w:r>
          <w:rPr>
            <w:rStyle w:val="Lienhypertexte"/>
          </w:rPr>
          <w:t>RGAA 4.1</w:t>
        </w:r>
      </w:hyperlink>
      <w:r>
        <w:t>)</w:t>
      </w:r>
    </w:p>
    <w:p w14:paraId="354897FF" w14:textId="77777777" w:rsidR="00E85C0F" w:rsidRDefault="00C02AAC">
      <w:pPr>
        <w:numPr>
          <w:ilvl w:val="0"/>
          <w:numId w:val="2"/>
        </w:numPr>
      </w:pPr>
      <w:r>
        <w:t xml:space="preserve">d'améliorer en continu les sites web, les services et les ressources numériques </w:t>
      </w:r>
    </w:p>
    <w:p w14:paraId="3CFBE03D" w14:textId="77777777" w:rsidR="00E85C0F" w:rsidRDefault="00C02AAC">
      <w:pPr>
        <w:numPr>
          <w:ilvl w:val="0"/>
          <w:numId w:val="2"/>
        </w:numPr>
      </w:pPr>
      <w:r>
        <w:t>de favoriser une meilleure expérience des utilisateurs en situation de handicap et pour l’ensemble de tous les usagers</w:t>
      </w:r>
    </w:p>
    <w:p w14:paraId="293D7611" w14:textId="77777777" w:rsidR="00E85C0F" w:rsidRDefault="00C02AAC">
      <w:pPr>
        <w:numPr>
          <w:ilvl w:val="0"/>
          <w:numId w:val="3"/>
        </w:numPr>
      </w:pPr>
      <w:r>
        <w:t xml:space="preserve">L’élaboration, le suivi et la mise à jour de ce schéma pluriannuel incombe au </w:t>
      </w:r>
      <w:proofErr w:type="spellStart"/>
      <w:r>
        <w:t>DAWAM</w:t>
      </w:r>
      <w:proofErr w:type="spellEnd"/>
      <w:r>
        <w:t xml:space="preserve"> (</w:t>
      </w:r>
      <w:r>
        <w:rPr>
          <w:sz w:val="18"/>
          <w:szCs w:val="18"/>
        </w:rPr>
        <w:t xml:space="preserve">Service développement accompagnement web, accessibilité, multimédia) </w:t>
      </w:r>
      <w:r>
        <w:t>de la Direction du Numérique, supervisé par le référent accessibilité numérique et son adjointe.</w:t>
      </w:r>
    </w:p>
    <w:p w14:paraId="35E72692" w14:textId="77777777" w:rsidR="00E85C0F" w:rsidRDefault="00C02AAC">
      <w:r>
        <w:rPr>
          <w:b/>
          <w:bCs/>
        </w:rPr>
        <w:lastRenderedPageBreak/>
        <w:t>Ce SPAN est ici dans sa version 1.2. Des précisions pourront y être apportées dans les trois années à venir.</w:t>
      </w:r>
      <w:r>
        <w:t xml:space="preserve"> </w:t>
      </w:r>
    </w:p>
    <w:p w14:paraId="7FBF71F2" w14:textId="77777777" w:rsidR="00E85C0F" w:rsidRDefault="00C02AAC">
      <w:pPr>
        <w:pStyle w:val="Titre2"/>
        <w:ind w:firstLine="0"/>
      </w:pPr>
      <w:bookmarkStart w:id="3" w:name="_Toc214462471"/>
      <w:r>
        <w:t>Contexte</w:t>
      </w:r>
      <w:bookmarkEnd w:id="3"/>
    </w:p>
    <w:p w14:paraId="6E8358FB" w14:textId="77777777" w:rsidR="00E85C0F" w:rsidRDefault="00C02AAC">
      <w:pPr>
        <w:pStyle w:val="Corpsdetexte"/>
      </w:pPr>
      <w:r>
        <w:t xml:space="preserve">L’Université de Lille rassemble près de </w:t>
      </w:r>
      <w:hyperlink r:id="rId13">
        <w:r>
          <w:rPr>
            <w:rStyle w:val="Lienhypertexte"/>
          </w:rPr>
          <w:t xml:space="preserve">7200 personnels et 78 000 </w:t>
        </w:r>
        <w:proofErr w:type="spellStart"/>
        <w:r>
          <w:rPr>
            <w:rStyle w:val="Lienhypertexte"/>
          </w:rPr>
          <w:t>étudiant·e·s</w:t>
        </w:r>
        <w:proofErr w:type="spellEnd"/>
        <w:r>
          <w:rPr>
            <w:rStyle w:val="Lienhypertexte"/>
          </w:rPr>
          <w:t>.</w:t>
        </w:r>
      </w:hyperlink>
      <w:r>
        <w:t xml:space="preserve"> Elle est issue de la fusion des 3 universités lilloises en 2018. Elle est une des plus grandes universités de France en nombre d’étudiants.  </w:t>
      </w:r>
      <w:r>
        <w:br/>
        <w:t>Au titre de l’année 2023, 402 personnels Bénéficiaires de l’Obligation d’Emploi (</w:t>
      </w:r>
      <w:proofErr w:type="spellStart"/>
      <w:r>
        <w:t>BOE</w:t>
      </w:r>
      <w:proofErr w:type="spellEnd"/>
      <w:r>
        <w:t xml:space="preserve">) y travaillent (soit 5,42%) et plus de </w:t>
      </w:r>
      <w:r>
        <w:rPr>
          <w:color w:val="000000"/>
        </w:rPr>
        <w:t>2500</w:t>
      </w:r>
      <w:r>
        <w:t xml:space="preserve"> étudiants se sont déclarés en situation de handicap auprès du </w:t>
      </w:r>
      <w:proofErr w:type="spellStart"/>
      <w:r>
        <w:t>BVEH</w:t>
      </w:r>
      <w:proofErr w:type="spellEnd"/>
      <w:r>
        <w:t>, le Bureau de la Vie Étudiante et Handicap (soit environ 2,5 %).</w:t>
      </w:r>
    </w:p>
    <w:p w14:paraId="3FF98FFE" w14:textId="77777777" w:rsidR="00E85C0F" w:rsidRDefault="00C02AAC">
      <w:pPr>
        <w:pStyle w:val="Titre2"/>
        <w:ind w:firstLine="0"/>
      </w:pPr>
      <w:bookmarkStart w:id="4" w:name="_Toc214462472"/>
      <w:r>
        <w:t>État des lieux</w:t>
      </w:r>
      <w:bookmarkEnd w:id="4"/>
    </w:p>
    <w:p w14:paraId="6415D205" w14:textId="77777777" w:rsidR="00E85C0F" w:rsidRDefault="00C02AAC">
      <w:pPr>
        <w:pStyle w:val="Corpsdetexte"/>
      </w:pPr>
      <w:r>
        <w:t xml:space="preserve">L’Université de Lille dispose d’une vaste infrastructure numérique : sites web, environnement numérique de travail, services pour l’étudiant (plateformes pédagogiques, applications de scolarité, catalogues des bibliothèques, plateforme vidéo etc.), applications métiers etc. (voir </w:t>
      </w:r>
      <w:r>
        <w:fldChar w:fldCharType="begin"/>
      </w:r>
      <w:r>
        <w:instrText xml:space="preserve"> REF __RefHeading___Toc536_4167883055 \h </w:instrText>
      </w:r>
      <w:r>
        <w:fldChar w:fldCharType="separate"/>
      </w:r>
      <w:r>
        <w:t>Annexe 2 : Recensement des sites, applications et services</w:t>
      </w:r>
      <w:r>
        <w:fldChar w:fldCharType="end"/>
      </w:r>
      <w:r>
        <w:t>)</w:t>
      </w:r>
    </w:p>
    <w:p w14:paraId="34270659" w14:textId="77777777" w:rsidR="00E85C0F" w:rsidRDefault="00C02AAC">
      <w:pPr>
        <w:pStyle w:val="Corpsdetexte"/>
      </w:pPr>
      <w:r>
        <w:t>Des actions ont déjà été entreprises à l’initiative d’un collectif sensibilisé aux enjeux de l’accessibilité numérique. Ce collectif est à l’origine de la création du comité de pilotage d’accessibilité numérique (</w:t>
      </w:r>
      <w:proofErr w:type="spellStart"/>
      <w:r>
        <w:t>COPILAN</w:t>
      </w:r>
      <w:proofErr w:type="spellEnd"/>
      <w:r>
        <w:t xml:space="preserve">, voir </w:t>
      </w:r>
      <w:r>
        <w:fldChar w:fldCharType="begin"/>
      </w:r>
      <w:r>
        <w:instrText xml:space="preserve"> REF __RefHeading___Toc504_4167883055 \h </w:instrText>
      </w:r>
      <w:r>
        <w:fldChar w:fldCharType="separate"/>
      </w:r>
      <w:r>
        <w:t>Pilotage</w:t>
      </w:r>
      <w:r>
        <w:fldChar w:fldCharType="end"/>
      </w:r>
      <w:r>
        <w:t xml:space="preserve">). Il est constitué de plusieurs membres : </w:t>
      </w:r>
    </w:p>
    <w:p w14:paraId="582B59D3" w14:textId="77777777" w:rsidR="00E85C0F" w:rsidRDefault="00C02AAC">
      <w:pPr>
        <w:pStyle w:val="Corpsdetexte"/>
        <w:numPr>
          <w:ilvl w:val="0"/>
          <w:numId w:val="4"/>
        </w:numPr>
      </w:pPr>
      <w:r>
        <w:t xml:space="preserve">Ingénieures pédagogiques de la </w:t>
      </w:r>
      <w:proofErr w:type="spellStart"/>
      <w:r>
        <w:t>DAPI</w:t>
      </w:r>
      <w:proofErr w:type="spellEnd"/>
      <w:r>
        <w:t xml:space="preserve"> (</w:t>
      </w:r>
      <w:r>
        <w:rPr>
          <w:szCs w:val="22"/>
        </w:rPr>
        <w:t xml:space="preserve">Direction d'Appui à la Pédagogie et à l'Innovation) </w:t>
      </w:r>
      <w:r>
        <w:t xml:space="preserve">dont le public cible sont les </w:t>
      </w:r>
      <w:proofErr w:type="spellStart"/>
      <w:r>
        <w:t>enseignant·e·s</w:t>
      </w:r>
      <w:proofErr w:type="spellEnd"/>
      <w:r>
        <w:t xml:space="preserve"> et </w:t>
      </w:r>
      <w:proofErr w:type="spellStart"/>
      <w:r>
        <w:t>enseignant·e·s-chercheur·e·s</w:t>
      </w:r>
      <w:proofErr w:type="spellEnd"/>
      <w:r>
        <w:t xml:space="preserve">. </w:t>
      </w:r>
    </w:p>
    <w:p w14:paraId="1221D729" w14:textId="77777777" w:rsidR="00E85C0F" w:rsidRDefault="00C02AAC">
      <w:pPr>
        <w:pStyle w:val="Corpsdetexte"/>
        <w:numPr>
          <w:ilvl w:val="0"/>
          <w:numId w:val="4"/>
        </w:numPr>
      </w:pPr>
      <w:r>
        <w:t xml:space="preserve">Ingénieurs, technicien, chargé de communication de la </w:t>
      </w:r>
      <w:proofErr w:type="spellStart"/>
      <w:r>
        <w:t>DGDNum</w:t>
      </w:r>
      <w:proofErr w:type="spellEnd"/>
      <w:r>
        <w:t>. Cette direction est en charge de concevoir, d’administrer, de maintenir et de développer les infrastructures numériques et les services numériques pour l’ensemble des usagers.</w:t>
      </w:r>
    </w:p>
    <w:p w14:paraId="3747FBC3" w14:textId="77777777" w:rsidR="00E85C0F" w:rsidRDefault="00C02AAC">
      <w:pPr>
        <w:pStyle w:val="Corpsdetexte"/>
      </w:pPr>
      <w:r>
        <w:t>Les actions déjà réalisées sont listées dans l’</w:t>
      </w:r>
      <w:r>
        <w:fldChar w:fldCharType="begin"/>
      </w:r>
      <w:r>
        <w:instrText xml:space="preserve"> REF __RefHeading___Toc510_4167883055 \h </w:instrText>
      </w:r>
      <w:r>
        <w:fldChar w:fldCharType="separate"/>
      </w:r>
      <w:r>
        <w:t>Annexe 1 : état des lieux des actions réalisées</w:t>
      </w:r>
      <w:r>
        <w:fldChar w:fldCharType="end"/>
      </w:r>
      <w:r>
        <w:t>.</w:t>
      </w:r>
    </w:p>
    <w:p w14:paraId="5F9246B3" w14:textId="77777777" w:rsidR="00E85C0F" w:rsidRDefault="00C02AAC">
      <w:pPr>
        <w:rPr>
          <w:b/>
          <w:bCs/>
        </w:rPr>
      </w:pPr>
      <w:r>
        <w:rPr>
          <w:b/>
          <w:bCs/>
        </w:rPr>
        <w:t>Le SPAN 2026 -2028 va permettre de consolider ces actions, de formaliser nos démarches et d’atteindre de manière efficace nos objectifs.</w:t>
      </w:r>
    </w:p>
    <w:p w14:paraId="09AF1939" w14:textId="77777777" w:rsidR="00E85C0F" w:rsidRDefault="00C02AAC">
      <w:pPr>
        <w:pStyle w:val="Titre1"/>
      </w:pPr>
      <w:bookmarkStart w:id="5" w:name="_Toc214462473"/>
      <w:r>
        <w:t>Politique d’accessibilité numérique</w:t>
      </w:r>
      <w:bookmarkEnd w:id="5"/>
      <w:r>
        <w:t xml:space="preserve"> </w:t>
      </w:r>
    </w:p>
    <w:p w14:paraId="1D674B2B" w14:textId="77777777" w:rsidR="00E85C0F" w:rsidRDefault="00C02AAC">
      <w:pPr>
        <w:pStyle w:val="Titre2"/>
        <w:ind w:firstLine="0"/>
      </w:pPr>
      <w:bookmarkStart w:id="6" w:name="_Toc214462474"/>
      <w:r>
        <w:t>Ambitions</w:t>
      </w:r>
      <w:bookmarkEnd w:id="6"/>
      <w:r>
        <w:t xml:space="preserve"> </w:t>
      </w:r>
    </w:p>
    <w:p w14:paraId="1EBB7196" w14:textId="77777777" w:rsidR="00E85C0F" w:rsidRDefault="00C02AAC">
      <w:r>
        <w:t xml:space="preserve">L’Université de Lille, dans le cadre de sa stratégie globale d’établissement, se veut démonstratrice de la transition sociale et solidaire. L’inclusion des personnes en situation </w:t>
      </w:r>
      <w:r>
        <w:lastRenderedPageBreak/>
        <w:t xml:space="preserve">de handicap fait partie de cette ambition, quel que soit leur statut : </w:t>
      </w:r>
      <w:proofErr w:type="spellStart"/>
      <w:r>
        <w:t>étudiant·e·s</w:t>
      </w:r>
      <w:proofErr w:type="spellEnd"/>
      <w:r>
        <w:t xml:space="preserve">, personnels </w:t>
      </w:r>
      <w:proofErr w:type="spellStart"/>
      <w:r>
        <w:t>BIATSS</w:t>
      </w:r>
      <w:proofErr w:type="spellEnd"/>
      <w:r>
        <w:t xml:space="preserve">, </w:t>
      </w:r>
      <w:proofErr w:type="spellStart"/>
      <w:r>
        <w:t>doctorant.e.s</w:t>
      </w:r>
      <w:proofErr w:type="spellEnd"/>
      <w:r>
        <w:t xml:space="preserve">, personnels </w:t>
      </w:r>
      <w:proofErr w:type="spellStart"/>
      <w:r>
        <w:t>enseignant·e·s</w:t>
      </w:r>
      <w:proofErr w:type="spellEnd"/>
      <w:r>
        <w:t xml:space="preserve">, </w:t>
      </w:r>
      <w:proofErr w:type="spellStart"/>
      <w:r>
        <w:t>chercheur.es·e·s</w:t>
      </w:r>
      <w:proofErr w:type="spellEnd"/>
      <w:r>
        <w:t xml:space="preserve"> et </w:t>
      </w:r>
      <w:proofErr w:type="spellStart"/>
      <w:r>
        <w:t>enseignant·e·s-chercheur·e·s</w:t>
      </w:r>
      <w:proofErr w:type="spellEnd"/>
      <w:r>
        <w:t xml:space="preserve">, titulaires ou </w:t>
      </w:r>
      <w:proofErr w:type="spellStart"/>
      <w:r>
        <w:t>contractuel·les</w:t>
      </w:r>
      <w:proofErr w:type="spellEnd"/>
      <w:r>
        <w:t xml:space="preserve">. </w:t>
      </w:r>
      <w:r>
        <w:rPr>
          <w:rStyle w:val="Accentuation"/>
          <w:i w:val="0"/>
          <w:iCs w:val="0"/>
          <w:color w:val="000000"/>
          <w:szCs w:val="22"/>
        </w:rPr>
        <w:t>L'université souhaite franchir une étape supplémentaire et, au-delà de l'indispensable compensation individuelle qui passe par des aménagements spécifiques à chaque situation, construire une inclusion globale et universelle, par la mise en œuvre d’accessibilités multiples, doit permettre d’alléger les démarches individuelles de demandes d’aménagement pour les personnes concernées.</w:t>
      </w:r>
    </w:p>
    <w:p w14:paraId="18014D7A" w14:textId="77777777" w:rsidR="00E85C0F" w:rsidRDefault="00C02AAC">
      <w:pPr>
        <w:pStyle w:val="Corpsdetexte"/>
      </w:pPr>
      <w:r>
        <w:t xml:space="preserve">Une feuille de route d’actions en faveur de l’accessibilité numérique a été établie et organisé en deux axes (voir </w:t>
      </w:r>
      <w:r>
        <w:fldChar w:fldCharType="begin"/>
      </w:r>
      <w:r>
        <w:instrText xml:space="preserve"> REF __RefHeading___Toc544_4167883055 \h </w:instrText>
      </w:r>
      <w:r>
        <w:fldChar w:fldCharType="separate"/>
      </w:r>
      <w:r>
        <w:t xml:space="preserve">Plans d’action </w:t>
      </w:r>
      <w:r>
        <w:fldChar w:fldCharType="end"/>
      </w:r>
      <w:r>
        <w:t xml:space="preserve">) : </w:t>
      </w:r>
    </w:p>
    <w:p w14:paraId="05060DD3" w14:textId="77777777" w:rsidR="00E85C0F" w:rsidRDefault="00C02AAC">
      <w:pPr>
        <w:pStyle w:val="Corpsdetexte"/>
        <w:numPr>
          <w:ilvl w:val="0"/>
          <w:numId w:val="5"/>
        </w:numPr>
      </w:pPr>
      <w:r>
        <w:rPr>
          <w:b/>
          <w:bCs/>
        </w:rPr>
        <w:t>axe applicatif</w:t>
      </w:r>
      <w:r>
        <w:t xml:space="preserve"> : mise en conformité des sites web et services numériques (voir  </w:t>
      </w:r>
      <w:r>
        <w:fldChar w:fldCharType="begin"/>
      </w:r>
      <w:r>
        <w:instrText xml:space="preserve"> REF __RefHeading___Toc542_4167883055 \h </w:instrText>
      </w:r>
      <w:r>
        <w:fldChar w:fldCharType="separate"/>
      </w:r>
      <w:r>
        <w:t xml:space="preserve">Annexe 3 : Liste des services numériques retenus pour mise en conformité </w:t>
      </w:r>
      <w:r>
        <w:fldChar w:fldCharType="end"/>
      </w:r>
      <w:r>
        <w:t xml:space="preserve">) </w:t>
      </w:r>
      <w:r>
        <w:br/>
        <w:t xml:space="preserve">Nous visons la mise en conformité de 2 services par an (sites web, applications, usine à sites..) associée à une amélioration continue des développements, des interfaces et de l’expérience utilisateur des services existants (via la montée en compétence des </w:t>
      </w:r>
      <w:proofErr w:type="spellStart"/>
      <w:r>
        <w:t>informaticien·nes</w:t>
      </w:r>
      <w:proofErr w:type="spellEnd"/>
      <w:r>
        <w:t xml:space="preserve">, designers etc.), </w:t>
      </w:r>
    </w:p>
    <w:p w14:paraId="544D1C96" w14:textId="77777777" w:rsidR="00E85C0F" w:rsidRDefault="00C02AAC">
      <w:pPr>
        <w:pStyle w:val="Corpsdetexte"/>
        <w:numPr>
          <w:ilvl w:val="0"/>
          <w:numId w:val="5"/>
        </w:numPr>
      </w:pPr>
      <w:r>
        <w:rPr>
          <w:b/>
          <w:bCs/>
        </w:rPr>
        <w:t xml:space="preserve">axe formation </w:t>
      </w:r>
      <w:r>
        <w:t xml:space="preserve">: montée en compétence des </w:t>
      </w:r>
      <w:proofErr w:type="spellStart"/>
      <w:r>
        <w:t>producteur·rices</w:t>
      </w:r>
      <w:proofErr w:type="spellEnd"/>
      <w:r>
        <w:t xml:space="preserve"> de contenus, des </w:t>
      </w:r>
      <w:proofErr w:type="spellStart"/>
      <w:r>
        <w:t>rédacteur·ices</w:t>
      </w:r>
      <w:proofErr w:type="spellEnd"/>
      <w:r>
        <w:t xml:space="preserve"> et des personnels en charge du développement des services numériques.</w:t>
      </w:r>
      <w:r>
        <w:br/>
        <w:t>En se fondant</w:t>
      </w:r>
      <w:r>
        <w:rPr>
          <w:color w:val="006CE7"/>
        </w:rPr>
        <w:t xml:space="preserve"> </w:t>
      </w:r>
      <w:r>
        <w:t>sur les actions de sensibilisation et de formation déjà réalisées, nous prévoyons de former entre 100 et 150 personnes par an (personnels administratifs / techniques et enseignants, enseignants-chercheurs), soit environ 2 à 3% des personnels (7200).</w:t>
      </w:r>
    </w:p>
    <w:p w14:paraId="2D4E8487" w14:textId="77777777" w:rsidR="00E85C0F" w:rsidRDefault="00C02AAC">
      <w:pPr>
        <w:pStyle w:val="Titre2"/>
        <w:ind w:firstLine="0"/>
      </w:pPr>
      <w:bookmarkStart w:id="7" w:name="_Toc214462475"/>
      <w:r>
        <w:t>Rattachement au Schéma Directeur Pluriannuel Handicap</w:t>
      </w:r>
      <w:bookmarkEnd w:id="7"/>
    </w:p>
    <w:p w14:paraId="383F074F" w14:textId="77777777" w:rsidR="00E85C0F" w:rsidRDefault="00C02AAC">
      <w:r>
        <w:t>L’Universi</w:t>
      </w:r>
      <w:r>
        <w:rPr>
          <w:szCs w:val="22"/>
        </w:rPr>
        <w:t>té de Lille a établi un Schéma Directeur Pluriannuel Handicap (</w:t>
      </w:r>
      <w:proofErr w:type="spellStart"/>
      <w:r>
        <w:rPr>
          <w:szCs w:val="22"/>
        </w:rPr>
        <w:t>SDPH</w:t>
      </w:r>
      <w:proofErr w:type="spellEnd"/>
      <w:r>
        <w:rPr>
          <w:szCs w:val="22"/>
        </w:rPr>
        <w:t>) pour la période 2022 - 2025 qui inscrit l'inclusion comme une responsabilité sociétale dans la stratégie de notre établissement.</w:t>
      </w:r>
    </w:p>
    <w:p w14:paraId="65083A7D" w14:textId="77777777" w:rsidR="00E85C0F" w:rsidRDefault="00C02AAC">
      <w:r>
        <w:t xml:space="preserve">Ce schéma directeur se décline en trois volets (vie étudiante, ressources humaines et transversal), eux-mêmes découpés en plusieurs objectifs et actions. </w:t>
      </w:r>
    </w:p>
    <w:p w14:paraId="07B8B09E" w14:textId="470FFFAA" w:rsidR="00E85C0F" w:rsidRDefault="00C02AAC">
      <w:r>
        <w:t xml:space="preserve">L’Université de Lille y a inclus l'objectif « accessibilité des ressources et outils. » Cet objectif se situe dans la partie « Objectif 3 : Volet transversal" du </w:t>
      </w:r>
      <w:proofErr w:type="spellStart"/>
      <w:r>
        <w:t>SDPH</w:t>
      </w:r>
      <w:proofErr w:type="spellEnd"/>
      <w:r>
        <w:t xml:space="preserve">. Il est composé de </w:t>
      </w:r>
      <w:r w:rsidR="00F8200B">
        <w:t>deux actions</w:t>
      </w:r>
      <w:r>
        <w:t xml:space="preserve"> :</w:t>
      </w:r>
    </w:p>
    <w:p w14:paraId="535C63C1" w14:textId="77777777" w:rsidR="00E85C0F" w:rsidRDefault="00C02AAC">
      <w:pPr>
        <w:numPr>
          <w:ilvl w:val="0"/>
          <w:numId w:val="6"/>
        </w:numPr>
        <w:tabs>
          <w:tab w:val="clear" w:pos="707"/>
          <w:tab w:val="left" w:pos="0"/>
        </w:tabs>
      </w:pPr>
      <w:r>
        <w:t>s’engager à respecter les objectifs fixés par le RGAA</w:t>
      </w:r>
    </w:p>
    <w:p w14:paraId="1A6BD276" w14:textId="77777777" w:rsidR="00E85C0F" w:rsidRDefault="00C02AAC">
      <w:pPr>
        <w:numPr>
          <w:ilvl w:val="0"/>
          <w:numId w:val="6"/>
        </w:numPr>
        <w:tabs>
          <w:tab w:val="clear" w:pos="707"/>
          <w:tab w:val="left" w:pos="0"/>
        </w:tabs>
      </w:pPr>
      <w:r>
        <w:t xml:space="preserve">communiquer sur des critères de base à respecter pour rendre un document informatique accessible aux personnes en situation de handicap. </w:t>
      </w:r>
    </w:p>
    <w:p w14:paraId="3575A932" w14:textId="77777777" w:rsidR="00E85C0F" w:rsidRDefault="00C02AAC">
      <w:r>
        <w:t>Le présent schéma pluriannuel d’accessibilité numérique s’inscrit dans cet objectif et permet de présenter la planification des actions prévues.</w:t>
      </w:r>
    </w:p>
    <w:p w14:paraId="7DE8C312" w14:textId="77777777" w:rsidR="00E85C0F" w:rsidRDefault="00C02AAC" w:rsidP="003C13E6">
      <w:r>
        <w:lastRenderedPageBreak/>
        <w:t xml:space="preserve">Le </w:t>
      </w:r>
      <w:proofErr w:type="spellStart"/>
      <w:r>
        <w:t>SDPH</w:t>
      </w:r>
      <w:proofErr w:type="spellEnd"/>
      <w:r>
        <w:t xml:space="preserve"> évolue vers une version 2026-2029 dont le principe est d'intégrer les éléments spécifiques aux personnels et aux étudiants dans une logique générale d'accessibilité universelle de l'Université. </w:t>
      </w:r>
    </w:p>
    <w:p w14:paraId="6590768F" w14:textId="77777777" w:rsidR="00E85C0F" w:rsidRDefault="00C02AAC">
      <w:pPr>
        <w:pStyle w:val="Titre2"/>
        <w:ind w:firstLine="0"/>
      </w:pPr>
      <w:bookmarkStart w:id="8" w:name="_Toc214462476"/>
      <w:r>
        <w:t>Politique numérique de l’Université de Lille</w:t>
      </w:r>
      <w:bookmarkEnd w:id="8"/>
    </w:p>
    <w:p w14:paraId="722130E0" w14:textId="77777777" w:rsidR="00E85C0F" w:rsidRDefault="00C02AAC">
      <w:pPr>
        <w:pStyle w:val="Corpsdetexte"/>
      </w:pPr>
      <w:r>
        <w:t xml:space="preserve">Le numérique est un outil de transformation majeur pour l'Université de Lille, en phase avec les évolutions sociétales, économiques et pédagogiques. L’Université de Lille s’engage envers l'inclusion, l'égalité d'accès aux outils numériques et la réussite des </w:t>
      </w:r>
      <w:proofErr w:type="spellStart"/>
      <w:r>
        <w:t>étudiant·es</w:t>
      </w:r>
      <w:proofErr w:type="spellEnd"/>
      <w:r>
        <w:t xml:space="preserve">. </w:t>
      </w:r>
    </w:p>
    <w:p w14:paraId="7E5CF4E9" w14:textId="77777777" w:rsidR="00E85C0F" w:rsidRDefault="00C02AAC">
      <w:pPr>
        <w:pStyle w:val="Corpsdetexte"/>
      </w:pPr>
      <w:r>
        <w:t>L'accessibilité numérique constitue un axe dans la politique numérique de l’établissement et a une place renforcée dans le nouveau schéma directeur du numérique (SDN 2026 – 2030).</w:t>
      </w:r>
    </w:p>
    <w:p w14:paraId="4F2C9271" w14:textId="77777777" w:rsidR="00E85C0F" w:rsidRDefault="00C02AAC">
      <w:pPr>
        <w:pStyle w:val="Titre1"/>
      </w:pPr>
      <w:bookmarkStart w:id="9" w:name="_Toc214462477"/>
      <w:r>
        <w:t>Organisation et mise en œuvre</w:t>
      </w:r>
      <w:bookmarkEnd w:id="9"/>
    </w:p>
    <w:p w14:paraId="7BFAE65E" w14:textId="77777777" w:rsidR="00E85C0F" w:rsidRDefault="00C02AAC">
      <w:pPr>
        <w:pStyle w:val="Titre2"/>
        <w:ind w:firstLine="0"/>
      </w:pPr>
      <w:bookmarkStart w:id="10" w:name="_Toc214462478"/>
      <w:r>
        <w:t>Pilotage</w:t>
      </w:r>
      <w:bookmarkEnd w:id="10"/>
    </w:p>
    <w:p w14:paraId="6364A4E0" w14:textId="77777777" w:rsidR="00E85C0F" w:rsidRDefault="00C02AAC">
      <w:pPr>
        <w:pStyle w:val="Corpsdetexte"/>
      </w:pPr>
      <w:bookmarkStart w:id="11" w:name="__DdeLink__3929_1530181275"/>
      <w:r>
        <w:t>Un Comité de Pilotage à l’Accessibilité Numérique (</w:t>
      </w:r>
      <w:proofErr w:type="spellStart"/>
      <w:r>
        <w:t>COPILAN</w:t>
      </w:r>
      <w:proofErr w:type="spellEnd"/>
      <w:r>
        <w:t>) a été créé à l’Université de Lille en février 2023. Il est composé de la manière suivante :</w:t>
      </w:r>
    </w:p>
    <w:p w14:paraId="2716019D" w14:textId="77777777" w:rsidR="00E85C0F" w:rsidRDefault="00C02AAC">
      <w:pPr>
        <w:numPr>
          <w:ilvl w:val="0"/>
          <w:numId w:val="7"/>
        </w:numPr>
        <w:tabs>
          <w:tab w:val="clear" w:pos="707"/>
          <w:tab w:val="left" w:pos="0"/>
        </w:tabs>
      </w:pPr>
      <w:r>
        <w:t xml:space="preserve">Le référent accessibilité numérique, Nicolas </w:t>
      </w:r>
      <w:proofErr w:type="spellStart"/>
      <w:r>
        <w:t>Lahoche</w:t>
      </w:r>
      <w:proofErr w:type="spellEnd"/>
      <w:r>
        <w:t>, rattaché à la Direction du numérique (</w:t>
      </w:r>
      <w:proofErr w:type="spellStart"/>
      <w:r>
        <w:t>DGDNum</w:t>
      </w:r>
      <w:proofErr w:type="spellEnd"/>
      <w:r>
        <w:t xml:space="preserve">) ; </w:t>
      </w:r>
      <w:r>
        <w:br/>
        <w:t>Ses missions sont les suivantes :</w:t>
      </w:r>
      <w:r>
        <w:rPr>
          <w:sz w:val="24"/>
        </w:rPr>
        <w:t xml:space="preserve"> </w:t>
      </w:r>
    </w:p>
    <w:p w14:paraId="1248AE84" w14:textId="77777777" w:rsidR="00E85C0F" w:rsidRDefault="00C02AAC">
      <w:pPr>
        <w:numPr>
          <w:ilvl w:val="1"/>
          <w:numId w:val="7"/>
        </w:numPr>
        <w:tabs>
          <w:tab w:val="left" w:pos="0"/>
        </w:tabs>
      </w:pPr>
      <w:r>
        <w:t xml:space="preserve">assurer le respect des normes en matière d'accessibilité numérique ; </w:t>
      </w:r>
    </w:p>
    <w:p w14:paraId="095BC690" w14:textId="77777777" w:rsidR="00E85C0F" w:rsidRDefault="00C02AAC">
      <w:pPr>
        <w:numPr>
          <w:ilvl w:val="1"/>
          <w:numId w:val="7"/>
        </w:numPr>
        <w:tabs>
          <w:tab w:val="left" w:pos="0"/>
        </w:tabs>
      </w:pPr>
      <w:r>
        <w:t xml:space="preserve">promouvoir les  bonnes pratiques en matière d'accessibilité numérique ; </w:t>
      </w:r>
    </w:p>
    <w:p w14:paraId="20DD362A" w14:textId="77777777" w:rsidR="00E85C0F" w:rsidRDefault="00C02AAC">
      <w:pPr>
        <w:numPr>
          <w:ilvl w:val="1"/>
          <w:numId w:val="7"/>
        </w:numPr>
        <w:tabs>
          <w:tab w:val="left" w:pos="0"/>
        </w:tabs>
      </w:pPr>
      <w:r>
        <w:t xml:space="preserve">accompagner les équipes techniques par le biais de formations au développement, au webdesign et à la rédaction de contenus accessibles ; </w:t>
      </w:r>
    </w:p>
    <w:p w14:paraId="6173B768" w14:textId="77777777" w:rsidR="00E85C0F" w:rsidRDefault="00C02AAC">
      <w:pPr>
        <w:numPr>
          <w:ilvl w:val="1"/>
          <w:numId w:val="7"/>
        </w:numPr>
        <w:tabs>
          <w:tab w:val="left" w:pos="0"/>
        </w:tabs>
      </w:pPr>
      <w:r>
        <w:t xml:space="preserve">recueillir les besoins des </w:t>
      </w:r>
      <w:proofErr w:type="spellStart"/>
      <w:r>
        <w:t>utilisateur·ices</w:t>
      </w:r>
      <w:proofErr w:type="spellEnd"/>
      <w:r>
        <w:t xml:space="preserve"> en situation de handicap et veiller à leur prise en compte dans l’amélioration des ressources ; </w:t>
      </w:r>
    </w:p>
    <w:p w14:paraId="2F4FFBEE" w14:textId="77777777" w:rsidR="00E85C0F" w:rsidRDefault="00C02AAC">
      <w:pPr>
        <w:numPr>
          <w:ilvl w:val="1"/>
          <w:numId w:val="7"/>
        </w:numPr>
        <w:tabs>
          <w:tab w:val="left" w:pos="0"/>
        </w:tabs>
      </w:pPr>
      <w:r>
        <w:t>piloter les audits d’accessibilité numérique ;</w:t>
      </w:r>
    </w:p>
    <w:p w14:paraId="2A80A990" w14:textId="77777777" w:rsidR="00E85C0F" w:rsidRDefault="00C02AAC">
      <w:pPr>
        <w:numPr>
          <w:ilvl w:val="1"/>
          <w:numId w:val="7"/>
        </w:numPr>
        <w:tabs>
          <w:tab w:val="left" w:pos="0"/>
        </w:tabs>
      </w:pPr>
      <w:r>
        <w:t>rendre compte de l’état d’avancement des actions auprès de la direction de l’université.</w:t>
      </w:r>
    </w:p>
    <w:p w14:paraId="24F5B375" w14:textId="77777777" w:rsidR="00E85C0F" w:rsidRDefault="00C02AAC">
      <w:pPr>
        <w:numPr>
          <w:ilvl w:val="0"/>
          <w:numId w:val="7"/>
        </w:numPr>
        <w:tabs>
          <w:tab w:val="clear" w:pos="707"/>
          <w:tab w:val="left" w:pos="0"/>
        </w:tabs>
      </w:pPr>
      <w:r>
        <w:t xml:space="preserve">Une ingénieure pédagogique </w:t>
      </w:r>
      <w:r>
        <w:rPr>
          <w:szCs w:val="22"/>
        </w:rPr>
        <w:t>rattachée à la Direction d'Appui à la Pédagogie et à l'Innovation (</w:t>
      </w:r>
      <w:proofErr w:type="spellStart"/>
      <w:r>
        <w:rPr>
          <w:szCs w:val="22"/>
        </w:rPr>
        <w:t>DAPI</w:t>
      </w:r>
      <w:proofErr w:type="spellEnd"/>
      <w:r>
        <w:rPr>
          <w:szCs w:val="22"/>
        </w:rPr>
        <w:t>) ;</w:t>
      </w:r>
    </w:p>
    <w:p w14:paraId="00F2678C" w14:textId="77777777" w:rsidR="00E85C0F" w:rsidRDefault="00C02AAC">
      <w:pPr>
        <w:numPr>
          <w:ilvl w:val="0"/>
          <w:numId w:val="7"/>
        </w:numPr>
        <w:tabs>
          <w:tab w:val="clear" w:pos="707"/>
          <w:tab w:val="left" w:pos="0"/>
        </w:tabs>
      </w:pPr>
      <w:r>
        <w:t xml:space="preserve">L’adjointe au référent accessibilité numérique rattachée à la </w:t>
      </w:r>
      <w:proofErr w:type="spellStart"/>
      <w:r>
        <w:t>DGDNum</w:t>
      </w:r>
      <w:proofErr w:type="spellEnd"/>
      <w:r>
        <w:t>.</w:t>
      </w:r>
    </w:p>
    <w:p w14:paraId="6E7B29BE" w14:textId="77777777" w:rsidR="00E85C0F" w:rsidRDefault="00C02AAC">
      <w:pPr>
        <w:numPr>
          <w:ilvl w:val="0"/>
          <w:numId w:val="7"/>
        </w:numPr>
        <w:tabs>
          <w:tab w:val="clear" w:pos="707"/>
          <w:tab w:val="left" w:pos="0"/>
        </w:tabs>
      </w:pPr>
      <w:r>
        <w:t xml:space="preserve">Un  webdesigner rattaché à la </w:t>
      </w:r>
      <w:proofErr w:type="spellStart"/>
      <w:r>
        <w:t>DGDNum</w:t>
      </w:r>
      <w:proofErr w:type="spellEnd"/>
      <w:r>
        <w:t> ;</w:t>
      </w:r>
    </w:p>
    <w:p w14:paraId="05FD4D99" w14:textId="77777777" w:rsidR="00E85C0F" w:rsidRDefault="00C02AAC">
      <w:pPr>
        <w:numPr>
          <w:ilvl w:val="0"/>
          <w:numId w:val="7"/>
        </w:numPr>
        <w:tabs>
          <w:tab w:val="clear" w:pos="707"/>
          <w:tab w:val="left" w:pos="0"/>
        </w:tabs>
      </w:pPr>
      <w:r>
        <w:t>La référente handicap du Service Commun de la Documentation (</w:t>
      </w:r>
      <w:proofErr w:type="spellStart"/>
      <w:r>
        <w:t>SCD</w:t>
      </w:r>
      <w:proofErr w:type="spellEnd"/>
      <w:r>
        <w:t>) ;</w:t>
      </w:r>
    </w:p>
    <w:p w14:paraId="61969111" w14:textId="77777777" w:rsidR="00E85C0F" w:rsidRDefault="00C02AAC">
      <w:pPr>
        <w:numPr>
          <w:ilvl w:val="0"/>
          <w:numId w:val="7"/>
        </w:numPr>
        <w:tabs>
          <w:tab w:val="clear" w:pos="707"/>
          <w:tab w:val="left" w:pos="0"/>
        </w:tabs>
      </w:pPr>
      <w:r>
        <w:t xml:space="preserve">Le chargé de communication de la </w:t>
      </w:r>
      <w:proofErr w:type="spellStart"/>
      <w:r>
        <w:t>DGDNum</w:t>
      </w:r>
      <w:proofErr w:type="spellEnd"/>
      <w:r>
        <w:t> ;</w:t>
      </w:r>
    </w:p>
    <w:p w14:paraId="684812A3" w14:textId="77777777" w:rsidR="00E85C0F" w:rsidRDefault="00C02AAC">
      <w:pPr>
        <w:numPr>
          <w:ilvl w:val="0"/>
          <w:numId w:val="7"/>
        </w:numPr>
        <w:tabs>
          <w:tab w:val="clear" w:pos="707"/>
          <w:tab w:val="left" w:pos="0"/>
        </w:tabs>
      </w:pPr>
      <w:r>
        <w:t xml:space="preserve">La directrice, ou </w:t>
      </w:r>
      <w:proofErr w:type="spellStart"/>
      <w:r>
        <w:t>un·e</w:t>
      </w:r>
      <w:proofErr w:type="spellEnd"/>
      <w:r>
        <w:t xml:space="preserve"> de ses </w:t>
      </w:r>
      <w:proofErr w:type="spellStart"/>
      <w:r>
        <w:t>représentant·e·s</w:t>
      </w:r>
      <w:proofErr w:type="spellEnd"/>
      <w:r>
        <w:t xml:space="preserve"> de la Direction de l’Environnement Social au </w:t>
      </w:r>
      <w:r>
        <w:rPr>
          <w:szCs w:val="22"/>
        </w:rPr>
        <w:t>Travail ;</w:t>
      </w:r>
    </w:p>
    <w:p w14:paraId="2FFFF2C6" w14:textId="77777777" w:rsidR="00E85C0F" w:rsidRDefault="00C02AAC">
      <w:pPr>
        <w:numPr>
          <w:ilvl w:val="0"/>
          <w:numId w:val="7"/>
        </w:numPr>
        <w:tabs>
          <w:tab w:val="clear" w:pos="707"/>
          <w:tab w:val="left" w:pos="0"/>
        </w:tabs>
      </w:pPr>
      <w:r>
        <w:rPr>
          <w:szCs w:val="22"/>
        </w:rPr>
        <w:lastRenderedPageBreak/>
        <w:t xml:space="preserve">Les </w:t>
      </w:r>
      <w:proofErr w:type="spellStart"/>
      <w:r>
        <w:rPr>
          <w:szCs w:val="22"/>
        </w:rPr>
        <w:t>chargé·e·s</w:t>
      </w:r>
      <w:proofErr w:type="spellEnd"/>
      <w:r>
        <w:rPr>
          <w:szCs w:val="22"/>
        </w:rPr>
        <w:t xml:space="preserve"> de mission et vice-</w:t>
      </w:r>
      <w:proofErr w:type="spellStart"/>
      <w:r>
        <w:rPr>
          <w:szCs w:val="22"/>
        </w:rPr>
        <w:t>président.e.s</w:t>
      </w:r>
      <w:proofErr w:type="spellEnd"/>
      <w:r>
        <w:rPr>
          <w:szCs w:val="22"/>
        </w:rPr>
        <w:t xml:space="preserve"> (ou leurs </w:t>
      </w:r>
      <w:proofErr w:type="spellStart"/>
      <w:r>
        <w:rPr>
          <w:szCs w:val="22"/>
        </w:rPr>
        <w:t>représentant·e·s</w:t>
      </w:r>
      <w:proofErr w:type="spellEnd"/>
      <w:r>
        <w:rPr>
          <w:szCs w:val="22"/>
        </w:rPr>
        <w:t>) en charge des questions de handicap, de numérique.</w:t>
      </w:r>
    </w:p>
    <w:p w14:paraId="09115D91" w14:textId="77777777" w:rsidR="00E85C0F" w:rsidRDefault="00E85C0F">
      <w:pPr>
        <w:rPr>
          <w:szCs w:val="22"/>
        </w:rPr>
      </w:pPr>
    </w:p>
    <w:p w14:paraId="7A3F29A9" w14:textId="77777777" w:rsidR="00E85C0F" w:rsidRDefault="00C02AAC">
      <w:r>
        <w:t xml:space="preserve">Le </w:t>
      </w:r>
      <w:proofErr w:type="spellStart"/>
      <w:r>
        <w:t>COPILAN</w:t>
      </w:r>
      <w:proofErr w:type="spellEnd"/>
      <w:r>
        <w:t xml:space="preserve"> a pour objectifs et rôles : </w:t>
      </w:r>
    </w:p>
    <w:p w14:paraId="642E3C1E" w14:textId="77777777" w:rsidR="00E85C0F" w:rsidRDefault="00C02AAC">
      <w:pPr>
        <w:numPr>
          <w:ilvl w:val="0"/>
          <w:numId w:val="8"/>
        </w:numPr>
      </w:pPr>
      <w:r>
        <w:t>d’organiser et de planifier les travaux liés à l’accessibilité numérique (développement, actions de formation) ;</w:t>
      </w:r>
    </w:p>
    <w:p w14:paraId="5CC53153" w14:textId="77777777" w:rsidR="00E85C0F" w:rsidRDefault="00C02AAC">
      <w:pPr>
        <w:numPr>
          <w:ilvl w:val="0"/>
          <w:numId w:val="8"/>
        </w:numPr>
      </w:pPr>
      <w:r>
        <w:t>de recueillir les demandes des différents services et besoins des usagers (</w:t>
      </w:r>
      <w:proofErr w:type="spellStart"/>
      <w:r>
        <w:t>étudiant·es</w:t>
      </w:r>
      <w:proofErr w:type="spellEnd"/>
      <w:r>
        <w:t>, personnels, associations d’</w:t>
      </w:r>
      <w:proofErr w:type="spellStart"/>
      <w:r>
        <w:t>étudiant·es</w:t>
      </w:r>
      <w:proofErr w:type="spellEnd"/>
      <w:r>
        <w:t xml:space="preserve"> etc.) ;</w:t>
      </w:r>
    </w:p>
    <w:p w14:paraId="1402229C" w14:textId="77777777" w:rsidR="00E85C0F" w:rsidRDefault="00C02AAC">
      <w:pPr>
        <w:numPr>
          <w:ilvl w:val="0"/>
          <w:numId w:val="8"/>
        </w:numPr>
      </w:pPr>
      <w:bookmarkStart w:id="12" w:name="__DdeLink__2048_4285309394"/>
      <w:r>
        <w:t xml:space="preserve">de rendre compte de l’avancée des projets, des points de blocage auprès de la direction de l’université </w:t>
      </w:r>
      <w:r>
        <w:rPr>
          <w:color w:val="000000"/>
          <w:szCs w:val="22"/>
        </w:rPr>
        <w:t>(</w:t>
      </w:r>
      <w:proofErr w:type="spellStart"/>
      <w:r>
        <w:rPr>
          <w:szCs w:val="22"/>
        </w:rPr>
        <w:t>vice-président·e·s</w:t>
      </w:r>
      <w:proofErr w:type="spellEnd"/>
      <w:r>
        <w:rPr>
          <w:szCs w:val="22"/>
        </w:rPr>
        <w:t xml:space="preserve"> en charge des questions de handicap, de numérique, de vie étudiante et d'innovation pédagogique</w:t>
      </w:r>
      <w:r>
        <w:rPr>
          <w:color w:val="000000"/>
          <w:szCs w:val="22"/>
        </w:rPr>
        <w:t>)</w:t>
      </w:r>
      <w:r>
        <w:t>.</w:t>
      </w:r>
      <w:bookmarkEnd w:id="12"/>
      <w:r>
        <w:t xml:space="preserve"> Il peut également leur faire part de propositions d’améliorations de dispositifs plus globaux de l’établissement.</w:t>
      </w:r>
      <w:bookmarkEnd w:id="11"/>
    </w:p>
    <w:p w14:paraId="30F66BE7" w14:textId="77777777" w:rsidR="00E85C0F" w:rsidRDefault="00C02AAC">
      <w:pPr>
        <w:pStyle w:val="Titre2"/>
        <w:ind w:firstLine="0"/>
      </w:pPr>
      <w:bookmarkStart w:id="13" w:name="_Toc214462479"/>
      <w:r>
        <w:t>Moyens humains</w:t>
      </w:r>
      <w:bookmarkEnd w:id="13"/>
    </w:p>
    <w:p w14:paraId="78963D5A" w14:textId="2961930F" w:rsidR="00E85C0F" w:rsidRDefault="00C02AAC" w:rsidP="003C13E6">
      <w:r>
        <w:t xml:space="preserve">L’université de Lille consacre au total 2 équivalents temps plein (ETP) à l’accessibilité numérique, répartis entre 5 personnes </w:t>
      </w:r>
    </w:p>
    <w:p w14:paraId="1F536AA3" w14:textId="77777777" w:rsidR="00261BF8" w:rsidRDefault="00261BF8" w:rsidP="003C13E6"/>
    <w:tbl>
      <w:tblPr>
        <w:tblStyle w:val="Grilledutableau"/>
        <w:tblW w:w="5000" w:type="pct"/>
        <w:tblLayout w:type="fixed"/>
        <w:tblLook w:val="0020" w:firstRow="1" w:lastRow="0" w:firstColumn="0" w:lastColumn="0" w:noHBand="0" w:noVBand="0"/>
      </w:tblPr>
      <w:tblGrid>
        <w:gridCol w:w="2407"/>
        <w:gridCol w:w="2407"/>
        <w:gridCol w:w="2407"/>
        <w:gridCol w:w="2407"/>
      </w:tblGrid>
      <w:tr w:rsidR="00E85C0F" w14:paraId="46043544" w14:textId="77777777" w:rsidTr="00A348DC">
        <w:trPr>
          <w:tblHeader/>
        </w:trPr>
        <w:tc>
          <w:tcPr>
            <w:tcW w:w="2409" w:type="dxa"/>
          </w:tcPr>
          <w:p w14:paraId="36BCADFE" w14:textId="77777777" w:rsidR="00E85C0F" w:rsidRDefault="00C02AAC">
            <w:pPr>
              <w:pStyle w:val="En-tteetpieddepage"/>
              <w:rPr>
                <w:b/>
                <w:bCs/>
              </w:rPr>
            </w:pPr>
            <w:r>
              <w:rPr>
                <w:b/>
                <w:bCs/>
              </w:rPr>
              <w:lastRenderedPageBreak/>
              <w:t>Fonction</w:t>
            </w:r>
          </w:p>
        </w:tc>
        <w:tc>
          <w:tcPr>
            <w:tcW w:w="2409" w:type="dxa"/>
          </w:tcPr>
          <w:p w14:paraId="7F6BAC55" w14:textId="77777777" w:rsidR="00E85C0F" w:rsidRDefault="00C02AAC">
            <w:pPr>
              <w:pStyle w:val="En-tteetpieddepage"/>
              <w:rPr>
                <w:b/>
                <w:bCs/>
              </w:rPr>
            </w:pPr>
            <w:r>
              <w:rPr>
                <w:b/>
                <w:bCs/>
              </w:rPr>
              <w:t>Missions</w:t>
            </w:r>
          </w:p>
        </w:tc>
        <w:tc>
          <w:tcPr>
            <w:tcW w:w="2410" w:type="dxa"/>
          </w:tcPr>
          <w:p w14:paraId="60BF2885" w14:textId="77777777" w:rsidR="00E85C0F" w:rsidRDefault="00C02AAC">
            <w:pPr>
              <w:pStyle w:val="En-tteetpieddepage"/>
              <w:rPr>
                <w:b/>
                <w:bCs/>
              </w:rPr>
            </w:pPr>
            <w:r>
              <w:rPr>
                <w:b/>
                <w:bCs/>
              </w:rPr>
              <w:t>ETP</w:t>
            </w:r>
          </w:p>
        </w:tc>
        <w:tc>
          <w:tcPr>
            <w:tcW w:w="2410" w:type="dxa"/>
          </w:tcPr>
          <w:p w14:paraId="20826909" w14:textId="77777777" w:rsidR="00E85C0F" w:rsidRDefault="00C02AAC">
            <w:pPr>
              <w:pStyle w:val="En-tteetpieddepage"/>
              <w:rPr>
                <w:b/>
                <w:bCs/>
              </w:rPr>
            </w:pPr>
            <w:r>
              <w:rPr>
                <w:b/>
                <w:bCs/>
              </w:rPr>
              <w:t>% accessibilité numérique</w:t>
            </w:r>
          </w:p>
        </w:tc>
      </w:tr>
      <w:tr w:rsidR="00E85C0F" w14:paraId="5D616F4D" w14:textId="77777777" w:rsidTr="00A348DC">
        <w:trPr>
          <w:tblHeader/>
        </w:trPr>
        <w:tc>
          <w:tcPr>
            <w:tcW w:w="2409" w:type="dxa"/>
          </w:tcPr>
          <w:p w14:paraId="2A7C57FB" w14:textId="77777777" w:rsidR="00E85C0F" w:rsidRDefault="00C02AAC">
            <w:pPr>
              <w:pStyle w:val="Contenudetableau"/>
              <w:rPr>
                <w:sz w:val="20"/>
                <w:szCs w:val="20"/>
              </w:rPr>
            </w:pPr>
            <w:r>
              <w:rPr>
                <w:sz w:val="20"/>
                <w:szCs w:val="20"/>
              </w:rPr>
              <w:t>Webdesigner, chef d’équipe / Référent en accessibilité numérique (</w:t>
            </w:r>
            <w:proofErr w:type="spellStart"/>
            <w:r>
              <w:rPr>
                <w:sz w:val="20"/>
                <w:szCs w:val="20"/>
              </w:rPr>
              <w:t>DGDNum</w:t>
            </w:r>
            <w:proofErr w:type="spellEnd"/>
            <w:r>
              <w:rPr>
                <w:sz w:val="20"/>
                <w:szCs w:val="20"/>
              </w:rPr>
              <w:t xml:space="preserve"> – service </w:t>
            </w:r>
            <w:proofErr w:type="spellStart"/>
            <w:r>
              <w:rPr>
                <w:sz w:val="20"/>
                <w:szCs w:val="20"/>
              </w:rPr>
              <w:t>DAWAM</w:t>
            </w:r>
            <w:proofErr w:type="spellEnd"/>
          </w:p>
        </w:tc>
        <w:tc>
          <w:tcPr>
            <w:tcW w:w="2409" w:type="dxa"/>
          </w:tcPr>
          <w:p w14:paraId="7F480FB2" w14:textId="77777777" w:rsidR="00E85C0F" w:rsidRDefault="00C02AAC">
            <w:pPr>
              <w:pStyle w:val="Contenudetableau"/>
              <w:rPr>
                <w:sz w:val="20"/>
                <w:szCs w:val="20"/>
              </w:rPr>
            </w:pPr>
            <w:r>
              <w:rPr>
                <w:sz w:val="20"/>
                <w:szCs w:val="20"/>
              </w:rPr>
              <w:t>Sensibiliser, coordonner, animer, les actions en faveur de l’accessibilité numérique</w:t>
            </w:r>
          </w:p>
        </w:tc>
        <w:tc>
          <w:tcPr>
            <w:tcW w:w="2410" w:type="dxa"/>
          </w:tcPr>
          <w:p w14:paraId="0A8F25DD" w14:textId="77777777" w:rsidR="00E85C0F" w:rsidRDefault="00C02AAC">
            <w:pPr>
              <w:pStyle w:val="Contenudetableau"/>
              <w:rPr>
                <w:sz w:val="20"/>
                <w:szCs w:val="20"/>
              </w:rPr>
            </w:pPr>
            <w:r>
              <w:rPr>
                <w:sz w:val="20"/>
                <w:szCs w:val="20"/>
              </w:rPr>
              <w:t>1</w:t>
            </w:r>
          </w:p>
        </w:tc>
        <w:tc>
          <w:tcPr>
            <w:tcW w:w="2410" w:type="dxa"/>
          </w:tcPr>
          <w:p w14:paraId="30AC4F0D" w14:textId="77777777" w:rsidR="00E85C0F" w:rsidRDefault="00C02AAC">
            <w:pPr>
              <w:pStyle w:val="Contenudetableau"/>
              <w:rPr>
                <w:sz w:val="20"/>
                <w:szCs w:val="20"/>
              </w:rPr>
            </w:pPr>
            <w:r>
              <w:rPr>
                <w:sz w:val="20"/>
                <w:szCs w:val="20"/>
              </w:rPr>
              <w:t>70 %</w:t>
            </w:r>
          </w:p>
        </w:tc>
      </w:tr>
      <w:tr w:rsidR="00E85C0F" w14:paraId="4F7E16C5" w14:textId="77777777" w:rsidTr="00A348DC">
        <w:trPr>
          <w:tblHeader/>
        </w:trPr>
        <w:tc>
          <w:tcPr>
            <w:tcW w:w="2409" w:type="dxa"/>
          </w:tcPr>
          <w:p w14:paraId="7DF7C50B" w14:textId="77777777" w:rsidR="00E85C0F" w:rsidRDefault="00C02AAC">
            <w:pPr>
              <w:pStyle w:val="Contenudetableau"/>
              <w:rPr>
                <w:sz w:val="20"/>
                <w:szCs w:val="20"/>
              </w:rPr>
            </w:pPr>
            <w:r>
              <w:rPr>
                <w:sz w:val="20"/>
                <w:szCs w:val="20"/>
              </w:rPr>
              <w:t>Adjointe au référent accessibilité numérique (</w:t>
            </w:r>
            <w:proofErr w:type="spellStart"/>
            <w:r>
              <w:rPr>
                <w:sz w:val="20"/>
                <w:szCs w:val="20"/>
              </w:rPr>
              <w:t>DGDNum</w:t>
            </w:r>
            <w:proofErr w:type="spellEnd"/>
            <w:r>
              <w:rPr>
                <w:sz w:val="20"/>
                <w:szCs w:val="20"/>
              </w:rPr>
              <w:t xml:space="preserve"> – service </w:t>
            </w:r>
            <w:proofErr w:type="spellStart"/>
            <w:r>
              <w:rPr>
                <w:sz w:val="20"/>
                <w:szCs w:val="20"/>
              </w:rPr>
              <w:t>DAWAM</w:t>
            </w:r>
            <w:proofErr w:type="spellEnd"/>
            <w:r>
              <w:rPr>
                <w:sz w:val="20"/>
                <w:szCs w:val="20"/>
              </w:rPr>
              <w:t>)</w:t>
            </w:r>
          </w:p>
        </w:tc>
        <w:tc>
          <w:tcPr>
            <w:tcW w:w="2409" w:type="dxa"/>
          </w:tcPr>
          <w:p w14:paraId="254F42AA" w14:textId="77777777" w:rsidR="00E85C0F" w:rsidRDefault="00C02AAC">
            <w:pPr>
              <w:pStyle w:val="Contenudetableau"/>
              <w:rPr>
                <w:sz w:val="20"/>
                <w:szCs w:val="20"/>
              </w:rPr>
            </w:pPr>
            <w:r>
              <w:rPr>
                <w:sz w:val="20"/>
                <w:szCs w:val="20"/>
              </w:rPr>
              <w:t>Assister le référent dans ses missions, sensibiliser et animer les actions</w:t>
            </w:r>
          </w:p>
        </w:tc>
        <w:tc>
          <w:tcPr>
            <w:tcW w:w="2410" w:type="dxa"/>
          </w:tcPr>
          <w:p w14:paraId="6CBD3D69" w14:textId="77777777" w:rsidR="00E85C0F" w:rsidRDefault="00C02AAC">
            <w:pPr>
              <w:pStyle w:val="Contenudetableau"/>
              <w:rPr>
                <w:sz w:val="20"/>
                <w:szCs w:val="20"/>
              </w:rPr>
            </w:pPr>
            <w:r>
              <w:rPr>
                <w:sz w:val="20"/>
                <w:szCs w:val="20"/>
              </w:rPr>
              <w:t>1</w:t>
            </w:r>
          </w:p>
        </w:tc>
        <w:tc>
          <w:tcPr>
            <w:tcW w:w="2410" w:type="dxa"/>
          </w:tcPr>
          <w:p w14:paraId="32E9D430" w14:textId="77777777" w:rsidR="00E85C0F" w:rsidRDefault="00C02AAC">
            <w:pPr>
              <w:pStyle w:val="Contenudetableau"/>
              <w:rPr>
                <w:sz w:val="20"/>
                <w:szCs w:val="20"/>
              </w:rPr>
            </w:pPr>
            <w:r>
              <w:rPr>
                <w:sz w:val="20"/>
                <w:szCs w:val="20"/>
              </w:rPr>
              <w:t>30 %</w:t>
            </w:r>
          </w:p>
        </w:tc>
      </w:tr>
      <w:tr w:rsidR="00E85C0F" w14:paraId="397C6061" w14:textId="77777777" w:rsidTr="00A348DC">
        <w:trPr>
          <w:tblHeader/>
        </w:trPr>
        <w:tc>
          <w:tcPr>
            <w:tcW w:w="2409" w:type="dxa"/>
          </w:tcPr>
          <w:p w14:paraId="333C5B89" w14:textId="77777777" w:rsidR="00E85C0F" w:rsidRDefault="00C02AAC">
            <w:pPr>
              <w:pStyle w:val="Contenudetableau"/>
              <w:rPr>
                <w:sz w:val="20"/>
                <w:szCs w:val="20"/>
              </w:rPr>
            </w:pPr>
            <w:r>
              <w:rPr>
                <w:sz w:val="20"/>
                <w:szCs w:val="20"/>
              </w:rPr>
              <w:t>Ingénieure pédagogique (</w:t>
            </w:r>
            <w:proofErr w:type="spellStart"/>
            <w:r>
              <w:rPr>
                <w:sz w:val="20"/>
                <w:szCs w:val="20"/>
              </w:rPr>
              <w:t>DAPI</w:t>
            </w:r>
            <w:proofErr w:type="spellEnd"/>
            <w:r>
              <w:rPr>
                <w:sz w:val="20"/>
                <w:szCs w:val="20"/>
              </w:rPr>
              <w:t>)</w:t>
            </w:r>
          </w:p>
        </w:tc>
        <w:tc>
          <w:tcPr>
            <w:tcW w:w="2409" w:type="dxa"/>
          </w:tcPr>
          <w:p w14:paraId="2D9053B0" w14:textId="77777777" w:rsidR="00E85C0F" w:rsidRDefault="00C02AAC">
            <w:pPr>
              <w:pStyle w:val="Contenudetableau"/>
              <w:rPr>
                <w:sz w:val="20"/>
                <w:szCs w:val="20"/>
              </w:rPr>
            </w:pPr>
            <w:r>
              <w:rPr>
                <w:sz w:val="20"/>
                <w:szCs w:val="20"/>
              </w:rPr>
              <w:t>Sensibiliser, animer les actions en faveur de l’accessibilité</w:t>
            </w:r>
          </w:p>
        </w:tc>
        <w:tc>
          <w:tcPr>
            <w:tcW w:w="2410" w:type="dxa"/>
          </w:tcPr>
          <w:p w14:paraId="14E75444" w14:textId="77777777" w:rsidR="00E85C0F" w:rsidRDefault="00C02AAC">
            <w:pPr>
              <w:pStyle w:val="Contenudetableau"/>
              <w:rPr>
                <w:sz w:val="20"/>
                <w:szCs w:val="20"/>
              </w:rPr>
            </w:pPr>
            <w:r>
              <w:rPr>
                <w:sz w:val="20"/>
                <w:szCs w:val="20"/>
              </w:rPr>
              <w:t>1</w:t>
            </w:r>
          </w:p>
        </w:tc>
        <w:tc>
          <w:tcPr>
            <w:tcW w:w="2410" w:type="dxa"/>
          </w:tcPr>
          <w:p w14:paraId="09987991" w14:textId="7A809295" w:rsidR="00E85C0F" w:rsidRDefault="00C02AAC">
            <w:pPr>
              <w:pStyle w:val="Contenudetableau"/>
              <w:rPr>
                <w:rFonts w:ascii="Source Sans Pro;Calibri;Candara" w:hAnsi="Source Sans Pro;Calibri;Candara" w:hint="eastAsia"/>
                <w:sz w:val="23"/>
                <w:szCs w:val="20"/>
              </w:rPr>
            </w:pPr>
            <w:r>
              <w:rPr>
                <w:rFonts w:ascii="Source Sans Pro;Calibri;Candara" w:hAnsi="Source Sans Pro;Calibri;Candara"/>
                <w:sz w:val="23"/>
                <w:szCs w:val="20"/>
              </w:rPr>
              <w:t>25 </w:t>
            </w:r>
            <w:r w:rsidR="002E538E">
              <w:rPr>
                <w:rFonts w:ascii="Source Sans Pro;Calibri;Candara" w:hAnsi="Source Sans Pro;Calibri;Candara"/>
                <w:sz w:val="23"/>
                <w:szCs w:val="20"/>
              </w:rPr>
              <w:t>% -</w:t>
            </w:r>
            <w:r>
              <w:rPr>
                <w:rFonts w:ascii="Source Sans Pro;Calibri;Candara" w:hAnsi="Source Sans Pro;Calibri;Candara"/>
                <w:sz w:val="23"/>
                <w:szCs w:val="20"/>
              </w:rPr>
              <w:t xml:space="preserve"> 50 %</w:t>
            </w:r>
          </w:p>
        </w:tc>
      </w:tr>
      <w:tr w:rsidR="00E85C0F" w14:paraId="350FD16F" w14:textId="77777777" w:rsidTr="00A348DC">
        <w:trPr>
          <w:tblHeader/>
        </w:trPr>
        <w:tc>
          <w:tcPr>
            <w:tcW w:w="2409" w:type="dxa"/>
          </w:tcPr>
          <w:p w14:paraId="738A459F" w14:textId="77777777" w:rsidR="00E85C0F" w:rsidRDefault="00C02AAC">
            <w:pPr>
              <w:pStyle w:val="Contenudetableau"/>
              <w:rPr>
                <w:sz w:val="20"/>
                <w:szCs w:val="20"/>
              </w:rPr>
            </w:pPr>
            <w:r>
              <w:rPr>
                <w:sz w:val="20"/>
                <w:szCs w:val="20"/>
              </w:rPr>
              <w:t>La référente handicap du Service Commun de la Documentation (</w:t>
            </w:r>
            <w:proofErr w:type="spellStart"/>
            <w:r>
              <w:rPr>
                <w:sz w:val="20"/>
                <w:szCs w:val="20"/>
              </w:rPr>
              <w:t>SCD</w:t>
            </w:r>
            <w:proofErr w:type="spellEnd"/>
            <w:r>
              <w:rPr>
                <w:sz w:val="20"/>
                <w:szCs w:val="20"/>
              </w:rPr>
              <w:t xml:space="preserve">) </w:t>
            </w:r>
          </w:p>
        </w:tc>
        <w:tc>
          <w:tcPr>
            <w:tcW w:w="2409" w:type="dxa"/>
          </w:tcPr>
          <w:p w14:paraId="1A9DE38B" w14:textId="77777777" w:rsidR="00E85C0F" w:rsidRDefault="00C02AAC">
            <w:pPr>
              <w:pStyle w:val="Contenudetableau"/>
              <w:rPr>
                <w:sz w:val="20"/>
                <w:szCs w:val="20"/>
              </w:rPr>
            </w:pPr>
            <w:r>
              <w:rPr>
                <w:sz w:val="20"/>
                <w:szCs w:val="20"/>
              </w:rPr>
              <w:t xml:space="preserve">Acculturer les agents du </w:t>
            </w:r>
            <w:proofErr w:type="spellStart"/>
            <w:r>
              <w:rPr>
                <w:sz w:val="20"/>
                <w:szCs w:val="20"/>
              </w:rPr>
              <w:t>SCD</w:t>
            </w:r>
            <w:proofErr w:type="spellEnd"/>
            <w:r>
              <w:rPr>
                <w:sz w:val="20"/>
                <w:szCs w:val="20"/>
              </w:rPr>
              <w:t xml:space="preserve"> à l’accessibilité numérique </w:t>
            </w:r>
          </w:p>
          <w:p w14:paraId="362F0BDC" w14:textId="77777777" w:rsidR="00E85C0F" w:rsidRDefault="00C02AAC">
            <w:pPr>
              <w:pStyle w:val="Contenudetableau"/>
              <w:rPr>
                <w:sz w:val="20"/>
                <w:szCs w:val="20"/>
              </w:rPr>
            </w:pPr>
            <w:r>
              <w:rPr>
                <w:sz w:val="20"/>
                <w:szCs w:val="20"/>
              </w:rPr>
              <w:t xml:space="preserve">Sensibiliser les agents du </w:t>
            </w:r>
            <w:proofErr w:type="spellStart"/>
            <w:r>
              <w:rPr>
                <w:sz w:val="20"/>
                <w:szCs w:val="20"/>
              </w:rPr>
              <w:t>SCD</w:t>
            </w:r>
            <w:proofErr w:type="spellEnd"/>
            <w:r>
              <w:rPr>
                <w:sz w:val="20"/>
                <w:szCs w:val="20"/>
              </w:rPr>
              <w:t xml:space="preserve"> </w:t>
            </w:r>
          </w:p>
          <w:p w14:paraId="45E6D1E3" w14:textId="77777777" w:rsidR="00E85C0F" w:rsidRDefault="00C02AAC">
            <w:pPr>
              <w:pStyle w:val="Contenudetableau"/>
              <w:rPr>
                <w:sz w:val="20"/>
                <w:szCs w:val="20"/>
              </w:rPr>
            </w:pPr>
            <w:r>
              <w:rPr>
                <w:sz w:val="20"/>
                <w:szCs w:val="20"/>
              </w:rPr>
              <w:t xml:space="preserve">Accompagner les porteurs de projets numériques dans la démarche d’accessibilité </w:t>
            </w:r>
          </w:p>
          <w:p w14:paraId="430EB892" w14:textId="77777777" w:rsidR="00E85C0F" w:rsidRDefault="00C02AAC">
            <w:pPr>
              <w:pStyle w:val="Contenudetableau"/>
              <w:rPr>
                <w:sz w:val="20"/>
                <w:szCs w:val="20"/>
              </w:rPr>
            </w:pPr>
            <w:r>
              <w:rPr>
                <w:sz w:val="20"/>
                <w:szCs w:val="20"/>
              </w:rPr>
              <w:t xml:space="preserve">Informer le CODIR du </w:t>
            </w:r>
            <w:proofErr w:type="spellStart"/>
            <w:r>
              <w:rPr>
                <w:sz w:val="20"/>
                <w:szCs w:val="20"/>
              </w:rPr>
              <w:t>SCD</w:t>
            </w:r>
            <w:proofErr w:type="spellEnd"/>
            <w:r>
              <w:rPr>
                <w:sz w:val="20"/>
                <w:szCs w:val="20"/>
              </w:rPr>
              <w:t xml:space="preserve"> des orientations et de l’avancée du SPAN, recueillir les priorités du service en la matière et les porter auprès du </w:t>
            </w:r>
            <w:proofErr w:type="spellStart"/>
            <w:r>
              <w:rPr>
                <w:sz w:val="20"/>
                <w:szCs w:val="20"/>
              </w:rPr>
              <w:t>COPILAN</w:t>
            </w:r>
            <w:proofErr w:type="spellEnd"/>
          </w:p>
        </w:tc>
        <w:tc>
          <w:tcPr>
            <w:tcW w:w="2410" w:type="dxa"/>
          </w:tcPr>
          <w:p w14:paraId="26CBA157" w14:textId="77777777" w:rsidR="00E85C0F" w:rsidRDefault="00C02AAC">
            <w:pPr>
              <w:pStyle w:val="Contenudetableau"/>
              <w:rPr>
                <w:sz w:val="20"/>
                <w:szCs w:val="20"/>
              </w:rPr>
            </w:pPr>
            <w:r>
              <w:rPr>
                <w:sz w:val="20"/>
                <w:szCs w:val="20"/>
              </w:rPr>
              <w:t>1</w:t>
            </w:r>
          </w:p>
        </w:tc>
        <w:tc>
          <w:tcPr>
            <w:tcW w:w="2410" w:type="dxa"/>
          </w:tcPr>
          <w:p w14:paraId="6CF95A73" w14:textId="77777777" w:rsidR="00E85C0F" w:rsidRDefault="00C02AAC">
            <w:pPr>
              <w:rPr>
                <w:kern w:val="0"/>
                <w:sz w:val="20"/>
                <w:szCs w:val="20"/>
              </w:rPr>
            </w:pPr>
            <w:r>
              <w:rPr>
                <w:kern w:val="0"/>
                <w:sz w:val="20"/>
                <w:szCs w:val="20"/>
              </w:rPr>
              <w:t>20% accessibilité numérique</w:t>
            </w:r>
          </w:p>
        </w:tc>
      </w:tr>
      <w:tr w:rsidR="00E85C0F" w14:paraId="7889B5C2" w14:textId="77777777" w:rsidTr="00A348DC">
        <w:trPr>
          <w:tblHeader/>
        </w:trPr>
        <w:tc>
          <w:tcPr>
            <w:tcW w:w="2409" w:type="dxa"/>
          </w:tcPr>
          <w:p w14:paraId="3AE25947" w14:textId="77777777" w:rsidR="00E85C0F" w:rsidRDefault="00C02AAC">
            <w:pPr>
              <w:pStyle w:val="Contenudetableau"/>
              <w:rPr>
                <w:sz w:val="20"/>
                <w:szCs w:val="20"/>
              </w:rPr>
            </w:pPr>
            <w:r>
              <w:rPr>
                <w:sz w:val="20"/>
                <w:szCs w:val="20"/>
              </w:rPr>
              <w:t>Designer (</w:t>
            </w:r>
            <w:proofErr w:type="spellStart"/>
            <w:r>
              <w:rPr>
                <w:sz w:val="20"/>
                <w:szCs w:val="20"/>
              </w:rPr>
              <w:t>DGDNum</w:t>
            </w:r>
            <w:proofErr w:type="spellEnd"/>
            <w:r>
              <w:rPr>
                <w:sz w:val="20"/>
                <w:szCs w:val="20"/>
              </w:rPr>
              <w:t xml:space="preserve"> - </w:t>
            </w:r>
            <w:proofErr w:type="spellStart"/>
            <w:r>
              <w:rPr>
                <w:sz w:val="20"/>
                <w:szCs w:val="20"/>
              </w:rPr>
              <w:t>DAWAM</w:t>
            </w:r>
            <w:proofErr w:type="spellEnd"/>
            <w:r>
              <w:rPr>
                <w:sz w:val="20"/>
                <w:szCs w:val="20"/>
              </w:rPr>
              <w:t>)</w:t>
            </w:r>
          </w:p>
        </w:tc>
        <w:tc>
          <w:tcPr>
            <w:tcW w:w="2409" w:type="dxa"/>
          </w:tcPr>
          <w:p w14:paraId="1887DD59" w14:textId="3F3BC2E9" w:rsidR="00E85C0F" w:rsidRDefault="00C02AAC">
            <w:pPr>
              <w:pStyle w:val="Contenudetableau"/>
              <w:rPr>
                <w:sz w:val="20"/>
                <w:szCs w:val="20"/>
              </w:rPr>
            </w:pPr>
            <w:r>
              <w:rPr>
                <w:sz w:val="20"/>
                <w:szCs w:val="20"/>
              </w:rPr>
              <w:t xml:space="preserve">Concevoir les designs d’interface et </w:t>
            </w:r>
            <w:r w:rsidR="00DF6EC9">
              <w:rPr>
                <w:sz w:val="20"/>
                <w:szCs w:val="20"/>
              </w:rPr>
              <w:t>le catalogue</w:t>
            </w:r>
            <w:r>
              <w:rPr>
                <w:sz w:val="20"/>
                <w:szCs w:val="20"/>
              </w:rPr>
              <w:t xml:space="preserve"> de thème graphique, garantir les taux de contraste</w:t>
            </w:r>
          </w:p>
        </w:tc>
        <w:tc>
          <w:tcPr>
            <w:tcW w:w="2410" w:type="dxa"/>
          </w:tcPr>
          <w:p w14:paraId="2F437008" w14:textId="77777777" w:rsidR="00E85C0F" w:rsidRDefault="00C02AAC">
            <w:pPr>
              <w:pStyle w:val="Contenudetableau"/>
              <w:rPr>
                <w:sz w:val="20"/>
                <w:szCs w:val="20"/>
              </w:rPr>
            </w:pPr>
            <w:r>
              <w:rPr>
                <w:sz w:val="20"/>
                <w:szCs w:val="20"/>
              </w:rPr>
              <w:t>1</w:t>
            </w:r>
          </w:p>
        </w:tc>
        <w:tc>
          <w:tcPr>
            <w:tcW w:w="2410" w:type="dxa"/>
          </w:tcPr>
          <w:p w14:paraId="492DAE6F" w14:textId="77777777" w:rsidR="00E85C0F" w:rsidRDefault="00C02AAC">
            <w:pPr>
              <w:pStyle w:val="Contenudetableau"/>
              <w:rPr>
                <w:sz w:val="20"/>
                <w:szCs w:val="20"/>
              </w:rPr>
            </w:pPr>
            <w:r>
              <w:rPr>
                <w:sz w:val="20"/>
                <w:szCs w:val="20"/>
              </w:rPr>
              <w:t>25 %</w:t>
            </w:r>
          </w:p>
        </w:tc>
      </w:tr>
    </w:tbl>
    <w:p w14:paraId="0F044CC1" w14:textId="77777777" w:rsidR="00E85C0F" w:rsidRDefault="00C02AAC">
      <w:pPr>
        <w:pStyle w:val="Titre2"/>
        <w:ind w:firstLine="0"/>
      </w:pPr>
      <w:bookmarkStart w:id="14" w:name="_Toc214462480"/>
      <w:r>
        <w:t>Moyens financiers</w:t>
      </w:r>
      <w:bookmarkEnd w:id="14"/>
    </w:p>
    <w:p w14:paraId="33014FE5" w14:textId="77777777" w:rsidR="00E85C0F" w:rsidRDefault="00C02AAC">
      <w:r>
        <w:t xml:space="preserve">Le </w:t>
      </w:r>
      <w:proofErr w:type="spellStart"/>
      <w:r>
        <w:t>COPILAN</w:t>
      </w:r>
      <w:proofErr w:type="spellEnd"/>
      <w:r>
        <w:t xml:space="preserve"> s’appuie sur les budgets formations de la Direction des Ressources Humaines (DRH) de l’Université de Lille pour mettre en œuvre des actions de formation </w:t>
      </w:r>
      <w:r>
        <w:lastRenderedPageBreak/>
        <w:t>(développement web et mobile, référent accessibilité numérique, pratiques rédactionnelles et bureautique, Facile à Lire et à Comprendre (</w:t>
      </w:r>
      <w:proofErr w:type="spellStart"/>
      <w:r>
        <w:t>FALC</w:t>
      </w:r>
      <w:proofErr w:type="spellEnd"/>
      <w:r>
        <w:t xml:space="preserve">), </w:t>
      </w:r>
      <w:proofErr w:type="spellStart"/>
      <w:r>
        <w:t>vélotypie</w:t>
      </w:r>
      <w:proofErr w:type="spellEnd"/>
      <w:r>
        <w:t xml:space="preserve">, etc.). Le budget propre de la </w:t>
      </w:r>
      <w:proofErr w:type="spellStart"/>
      <w:r>
        <w:t>DGDNum</w:t>
      </w:r>
      <w:proofErr w:type="spellEnd"/>
      <w:r>
        <w:t xml:space="preserve"> va également permet également de financer des audits d’accessibilité (</w:t>
      </w:r>
      <w:proofErr w:type="spellStart"/>
      <w:r>
        <w:t>cf</w:t>
      </w:r>
      <w:proofErr w:type="spellEnd"/>
      <w:r>
        <w:t> </w:t>
      </w:r>
      <w:r>
        <w:rPr>
          <w:u w:val="single"/>
        </w:rPr>
        <w:t xml:space="preserve"> </w:t>
      </w:r>
      <w:r>
        <w:rPr>
          <w:u w:val="single"/>
        </w:rPr>
        <w:fldChar w:fldCharType="begin"/>
      </w:r>
      <w:r>
        <w:rPr>
          <w:u w:val="single"/>
        </w:rPr>
        <w:instrText xml:space="preserve"> REF __RefHeading___Toc544_4167883055 \h </w:instrText>
      </w:r>
      <w:r>
        <w:rPr>
          <w:u w:val="single"/>
        </w:rPr>
      </w:r>
      <w:r>
        <w:rPr>
          <w:u w:val="single"/>
        </w:rPr>
        <w:fldChar w:fldCharType="separate"/>
      </w:r>
      <w:r>
        <w:rPr>
          <w:u w:val="single"/>
        </w:rPr>
        <w:t xml:space="preserve">Plans d’action </w:t>
      </w:r>
      <w:r>
        <w:rPr>
          <w:u w:val="single"/>
        </w:rPr>
        <w:fldChar w:fldCharType="end"/>
      </w:r>
      <w:r>
        <w:t xml:space="preserve">). </w:t>
      </w:r>
    </w:p>
    <w:p w14:paraId="5462DE7B" w14:textId="77777777" w:rsidR="00E85C0F" w:rsidRDefault="00C02AAC">
      <w:r>
        <w:t>L’Université de Lille est membre de la Convention Handicap Université Entreprises (CHUE) qui rassemble des entreprises partenaires régionales. Grâce à des appels à projets, le CHUE peut également contribuer au financement d’actions dédiées à l’accessibilité numérique dans le cadre de la réussite des étudiants en situation de handicap.</w:t>
      </w:r>
    </w:p>
    <w:p w14:paraId="6FFDE9CD" w14:textId="77777777" w:rsidR="00E85C0F" w:rsidRDefault="00C02AAC">
      <w:r>
        <w:t>Des aides peuvent également être sollicitées auprès de la Direction Interministérielle du Numérique (</w:t>
      </w:r>
      <w:proofErr w:type="spellStart"/>
      <w:r>
        <w:t>DINUM</w:t>
      </w:r>
      <w:proofErr w:type="spellEnd"/>
      <w:r>
        <w:t>) et du F</w:t>
      </w:r>
      <w:r>
        <w:rPr>
          <w:rStyle w:val="lev"/>
          <w:b w:val="0"/>
          <w:bCs w:val="0"/>
        </w:rPr>
        <w:t>onds pour l’Insertion des Personnes Handicapées dans la Fonction Publique (</w:t>
      </w:r>
      <w:proofErr w:type="spellStart"/>
      <w:r>
        <w:rPr>
          <w:rStyle w:val="lev"/>
          <w:b w:val="0"/>
          <w:bCs w:val="0"/>
        </w:rPr>
        <w:t>FIPHFP</w:t>
      </w:r>
      <w:proofErr w:type="spellEnd"/>
      <w:r>
        <w:rPr>
          <w:rStyle w:val="lev"/>
          <w:b w:val="0"/>
          <w:bCs w:val="0"/>
        </w:rPr>
        <w:t>)</w:t>
      </w:r>
      <w:r>
        <w:t xml:space="preserve"> </w:t>
      </w:r>
    </w:p>
    <w:p w14:paraId="7AFF447F" w14:textId="77777777" w:rsidR="00E85C0F" w:rsidRDefault="00C02AAC">
      <w:pPr>
        <w:pStyle w:val="Titre2"/>
        <w:ind w:firstLine="0"/>
      </w:pPr>
      <w:bookmarkStart w:id="15" w:name="_Toc214462481"/>
      <w:r>
        <w:t>Gestion des compétences</w:t>
      </w:r>
      <w:bookmarkEnd w:id="15"/>
      <w:r>
        <w:t xml:space="preserve"> </w:t>
      </w:r>
    </w:p>
    <w:p w14:paraId="2DF3B30D" w14:textId="77777777" w:rsidR="00E85C0F" w:rsidRDefault="00C02AAC">
      <w:pPr>
        <w:pStyle w:val="Titre3"/>
        <w:ind w:firstLine="0"/>
      </w:pPr>
      <w:bookmarkStart w:id="16" w:name="_Toc214462482"/>
      <w:r>
        <w:t>Actions de formation et de sensibilisation</w:t>
      </w:r>
      <w:bookmarkEnd w:id="16"/>
    </w:p>
    <w:p w14:paraId="7928B763" w14:textId="77777777" w:rsidR="00E85C0F" w:rsidRDefault="00C02AAC">
      <w:pPr>
        <w:pStyle w:val="Corpsdetexte"/>
      </w:pPr>
      <w:r>
        <w:t>Durant la période d’application de ce schéma, des actions de formation et de sensibilisation vont être organisées :</w:t>
      </w:r>
    </w:p>
    <w:p w14:paraId="2A103D9D" w14:textId="77777777" w:rsidR="00E85C0F" w:rsidRDefault="00C02AAC">
      <w:pPr>
        <w:numPr>
          <w:ilvl w:val="0"/>
          <w:numId w:val="9"/>
        </w:numPr>
      </w:pPr>
      <w:r>
        <w:t>actions internes de sensibilisation auprès des enseignants (2/an minimum) ;</w:t>
      </w:r>
    </w:p>
    <w:p w14:paraId="4C187232" w14:textId="77777777" w:rsidR="00E85C0F" w:rsidRDefault="00C02AAC">
      <w:pPr>
        <w:numPr>
          <w:ilvl w:val="0"/>
          <w:numId w:val="9"/>
        </w:numPr>
      </w:pPr>
      <w:r>
        <w:t>actions internes de sensibilisation auprès des personnels administratifs et techniques (3/an minimum) ;</w:t>
      </w:r>
    </w:p>
    <w:p w14:paraId="60E1D0EA" w14:textId="77777777" w:rsidR="00E85C0F" w:rsidRDefault="00C02AAC">
      <w:pPr>
        <w:numPr>
          <w:ilvl w:val="0"/>
          <w:numId w:val="9"/>
        </w:numPr>
      </w:pPr>
      <w:r>
        <w:t>formation technique aux outils de développement web et mobile (prestation externe) ;</w:t>
      </w:r>
    </w:p>
    <w:p w14:paraId="5218784C" w14:textId="77777777" w:rsidR="00E85C0F" w:rsidRDefault="00C02AAC">
      <w:pPr>
        <w:numPr>
          <w:ilvl w:val="0"/>
          <w:numId w:val="9"/>
        </w:numPr>
      </w:pPr>
      <w:r>
        <w:t>formation aux bonnes pratiques éditoriales et de création de documents de bureautique et de communication  (prestations internes et externes).</w:t>
      </w:r>
    </w:p>
    <w:p w14:paraId="0FCBECE7" w14:textId="77777777" w:rsidR="00E85C0F" w:rsidRDefault="00C02AAC">
      <w:pPr>
        <w:pStyle w:val="Titre3"/>
        <w:ind w:firstLine="0"/>
      </w:pPr>
      <w:bookmarkStart w:id="17" w:name="_Toc214462483"/>
      <w:r>
        <w:t>Recrutement</w:t>
      </w:r>
      <w:bookmarkEnd w:id="17"/>
    </w:p>
    <w:p w14:paraId="1D4C25F9" w14:textId="77777777" w:rsidR="00E85C0F" w:rsidRDefault="00C02AAC">
      <w:pPr>
        <w:numPr>
          <w:ilvl w:val="0"/>
          <w:numId w:val="9"/>
        </w:numPr>
      </w:pPr>
      <w:r>
        <w:t xml:space="preserve">Une importance particulière sera accordée aux compétences en accessibilité numérique (bonnes pratiques, connaissance du cadre légal et référentiel RGAA en vigueur) des personnels (notamment ceux affectés à la </w:t>
      </w:r>
      <w:proofErr w:type="spellStart"/>
      <w:r>
        <w:t>DGDNum</w:t>
      </w:r>
      <w:proofErr w:type="spellEnd"/>
      <w:r>
        <w:t>) travaillant sur les services numériques (développeurs, intégrateurs, designers) :</w:t>
      </w:r>
    </w:p>
    <w:p w14:paraId="0D5982F3" w14:textId="77777777" w:rsidR="00E85C0F" w:rsidRDefault="00C02AAC">
      <w:pPr>
        <w:numPr>
          <w:ilvl w:val="1"/>
          <w:numId w:val="9"/>
        </w:numPr>
      </w:pPr>
      <w:r>
        <w:t>lors de l'élaboration des fiches de poste</w:t>
      </w:r>
    </w:p>
    <w:p w14:paraId="3E014E50" w14:textId="77777777" w:rsidR="00E85C0F" w:rsidRDefault="00C02AAC">
      <w:pPr>
        <w:numPr>
          <w:ilvl w:val="1"/>
          <w:numId w:val="9"/>
        </w:numPr>
      </w:pPr>
      <w:r>
        <w:t xml:space="preserve">lors des processus de recrutement. </w:t>
      </w:r>
    </w:p>
    <w:p w14:paraId="53262914" w14:textId="49D2F1B9" w:rsidR="007D2722" w:rsidRDefault="00C02AAC">
      <w:pPr>
        <w:numPr>
          <w:ilvl w:val="0"/>
          <w:numId w:val="9"/>
        </w:numPr>
      </w:pPr>
      <w:r>
        <w:t xml:space="preserve">Le </w:t>
      </w:r>
      <w:proofErr w:type="spellStart"/>
      <w:r>
        <w:t>COPILAN</w:t>
      </w:r>
      <w:proofErr w:type="spellEnd"/>
      <w:r>
        <w:t xml:space="preserve"> prévoit également d’encourager fortement les nouveaux membres du personnel (administratifs et techniques et enseignants) à suivre une session de sensibilisation ou technique sur l'accessibilité numérique dès leur prise de fonction.</w:t>
      </w:r>
      <w:r w:rsidR="007D2722">
        <w:br w:type="page"/>
      </w:r>
    </w:p>
    <w:p w14:paraId="7A02D22F" w14:textId="77777777" w:rsidR="00E85C0F" w:rsidRDefault="00C02AAC">
      <w:pPr>
        <w:pStyle w:val="Titre3"/>
        <w:ind w:firstLine="0"/>
      </w:pPr>
      <w:bookmarkStart w:id="18" w:name="_Toc214462484"/>
      <w:r>
        <w:lastRenderedPageBreak/>
        <w:t>Recours à des compétences externes.</w:t>
      </w:r>
      <w:bookmarkEnd w:id="18"/>
    </w:p>
    <w:p w14:paraId="594640D2" w14:textId="77777777" w:rsidR="00E85C0F" w:rsidRDefault="00C02AAC">
      <w:r>
        <w:t xml:space="preserve">L’Université de Lille s’appuie sur plusieurs sociétés externes pour l’animation de formation techniques (développement web et mobile), de formation rédactionnelle (langage simplifié, </w:t>
      </w:r>
      <w:proofErr w:type="spellStart"/>
      <w:r>
        <w:t>FALC</w:t>
      </w:r>
      <w:proofErr w:type="spellEnd"/>
      <w:r>
        <w:t>) et la réalisation d’audits et mise en conformité.</w:t>
      </w:r>
    </w:p>
    <w:p w14:paraId="773199EB" w14:textId="77777777" w:rsidR="00E85C0F" w:rsidRDefault="00C02AAC">
      <w:pPr>
        <w:pStyle w:val="Titre2"/>
        <w:ind w:firstLine="0"/>
      </w:pPr>
      <w:bookmarkStart w:id="19" w:name="_Toc214462485"/>
      <w:r>
        <w:t>Prise en compte de l’accessibilité numérique dans les projets</w:t>
      </w:r>
      <w:bookmarkEnd w:id="19"/>
    </w:p>
    <w:p w14:paraId="44EAC036" w14:textId="77777777" w:rsidR="00E85C0F" w:rsidRDefault="00C02AAC">
      <w:r>
        <w:t>L’accessibilité numérique est prise en compte dans les projets web depuis plusieurs années.</w:t>
      </w:r>
      <w:r>
        <w:br/>
        <w:t xml:space="preserve">Elle est mentionnée dans chaque cahier des charges technique et fonctionnel de tout nouveau projet numérique porté par le </w:t>
      </w:r>
      <w:proofErr w:type="spellStart"/>
      <w:r>
        <w:t>DAWAM</w:t>
      </w:r>
      <w:proofErr w:type="spellEnd"/>
      <w:r>
        <w:t xml:space="preserve"> et le </w:t>
      </w:r>
      <w:proofErr w:type="spellStart"/>
      <w:r>
        <w:t>SCD</w:t>
      </w:r>
      <w:proofErr w:type="spellEnd"/>
      <w:r>
        <w:t>. Une mention au respect des règles du RGAA en cours est systématiquement présente.</w:t>
      </w:r>
    </w:p>
    <w:p w14:paraId="7CDCAA8F" w14:textId="77777777" w:rsidR="00E85C0F" w:rsidRDefault="00C02AAC">
      <w:r>
        <w:t>Le référent accessibilité numérique veille au respect de cette condition.</w:t>
      </w:r>
    </w:p>
    <w:p w14:paraId="38883313" w14:textId="77777777" w:rsidR="00E85C0F" w:rsidRDefault="00C02AAC">
      <w:r>
        <w:t xml:space="preserve">Cette démarche sera étendue à l’ensemble des projets numériques de la </w:t>
      </w:r>
      <w:proofErr w:type="spellStart"/>
      <w:r>
        <w:t>DGDNum</w:t>
      </w:r>
      <w:proofErr w:type="spellEnd"/>
      <w:r>
        <w:t>, puis à ceux des autres directions de l’Université.</w:t>
      </w:r>
    </w:p>
    <w:p w14:paraId="5C1C34F2" w14:textId="77777777" w:rsidR="00E85C0F" w:rsidRDefault="00C02AAC">
      <w:pPr>
        <w:pStyle w:val="Titre2"/>
        <w:ind w:firstLine="0"/>
      </w:pPr>
      <w:bookmarkStart w:id="20" w:name="_Toc214462486"/>
      <w:r>
        <w:t>Prise en compte de l’accessibilité dans les procédures de marché</w:t>
      </w:r>
      <w:bookmarkEnd w:id="20"/>
      <w:r>
        <w:t xml:space="preserve"> </w:t>
      </w:r>
    </w:p>
    <w:p w14:paraId="412807F9" w14:textId="77777777" w:rsidR="00E85C0F" w:rsidRDefault="00C02AAC">
      <w:pPr>
        <w:numPr>
          <w:ilvl w:val="0"/>
          <w:numId w:val="10"/>
        </w:numPr>
      </w:pPr>
      <w:r>
        <w:t xml:space="preserve">L'accessibilité numérique et la conformité au RGAA doivent être des critères contraignants dans l'évaluation de la qualité des services proposés par un prestataire lors de l'attribution d’appels d'offres pour un développement informatique, une application, un progiciel. </w:t>
      </w:r>
    </w:p>
    <w:p w14:paraId="37C6B00D" w14:textId="77777777" w:rsidR="00E85C0F" w:rsidRDefault="00C02AAC">
      <w:pPr>
        <w:numPr>
          <w:ilvl w:val="0"/>
          <w:numId w:val="10"/>
        </w:numPr>
        <w:rPr>
          <w:szCs w:val="22"/>
        </w:rPr>
      </w:pPr>
      <w:r>
        <w:rPr>
          <w:szCs w:val="22"/>
        </w:rPr>
        <w:t xml:space="preserve">Les processus d'élaboration des marchés ainsi que les critères d'évaluation des candidatures seront ajustés pour prendre en considération les exigences de conformité au RGAA. </w:t>
      </w:r>
    </w:p>
    <w:p w14:paraId="5C5CBF55" w14:textId="77777777" w:rsidR="00E85C0F" w:rsidRDefault="00C02AAC">
      <w:pPr>
        <w:numPr>
          <w:ilvl w:val="0"/>
          <w:numId w:val="10"/>
        </w:numPr>
      </w:pPr>
      <w:r>
        <w:t xml:space="preserve">Le </w:t>
      </w:r>
      <w:proofErr w:type="spellStart"/>
      <w:r>
        <w:t>Grand Duché</w:t>
      </w:r>
      <w:proofErr w:type="spellEnd"/>
      <w:r>
        <w:t xml:space="preserve"> du Luxembourg propose un </w:t>
      </w:r>
      <w:hyperlink r:id="rId14">
        <w:r>
          <w:rPr>
            <w:rStyle w:val="Lienhypertexte"/>
          </w:rPr>
          <w:t>ensemble de clauses relatives à l'accessibilité numérique</w:t>
        </w:r>
      </w:hyperlink>
      <w:r>
        <w:t xml:space="preserve"> dans le cadre de l’élaboration de cahiers des charges destinés à des prestataires externes. Nous nous appuierons sur cette expertise pour l’évolution de notre processus. </w:t>
      </w:r>
    </w:p>
    <w:p w14:paraId="6D250D32" w14:textId="7B9F7C36" w:rsidR="007D2722" w:rsidRDefault="00C02AAC">
      <w:pPr>
        <w:numPr>
          <w:ilvl w:val="0"/>
          <w:numId w:val="10"/>
        </w:numPr>
      </w:pPr>
      <w:r>
        <w:t>L’Université de Lille pourra également s’appuyer sur les compétences et conseils de l’équipe accessibilité numérique du département du Nord, qui intègre déjà des clauses d’accessibilité pour ses marchés publics.</w:t>
      </w:r>
      <w:r w:rsidR="007D2722">
        <w:br w:type="page"/>
      </w:r>
    </w:p>
    <w:p w14:paraId="417837E4" w14:textId="77777777" w:rsidR="00E85C0F" w:rsidRDefault="00C02AAC">
      <w:pPr>
        <w:pStyle w:val="Titre2"/>
        <w:ind w:firstLine="0"/>
      </w:pPr>
      <w:bookmarkStart w:id="21" w:name="_Toc214462487"/>
      <w:r>
        <w:lastRenderedPageBreak/>
        <w:t>Processus de contrôle et de validation</w:t>
      </w:r>
      <w:bookmarkEnd w:id="21"/>
      <w:r>
        <w:t xml:space="preserve"> </w:t>
      </w:r>
    </w:p>
    <w:p w14:paraId="3C050211" w14:textId="77777777" w:rsidR="00E85C0F" w:rsidRDefault="00C02AAC">
      <w:pPr>
        <w:pStyle w:val="Titre3"/>
        <w:ind w:firstLine="0"/>
      </w:pPr>
      <w:bookmarkStart w:id="22" w:name="_Toc214462488"/>
      <w:r>
        <w:t>Moyens humains, techniques et outillages</w:t>
      </w:r>
      <w:bookmarkEnd w:id="22"/>
    </w:p>
    <w:p w14:paraId="272D10A8" w14:textId="77777777" w:rsidR="00E85C0F" w:rsidRDefault="00C02AAC">
      <w:r>
        <w:t xml:space="preserve">Au sein du </w:t>
      </w:r>
      <w:proofErr w:type="spellStart"/>
      <w:r>
        <w:t>DAWAM</w:t>
      </w:r>
      <w:proofErr w:type="spellEnd"/>
      <w:r>
        <w:t xml:space="preserve">, trois agents dont le temps de travail équivaut à 2.5 ETP sont dédiés à l'accompagnement des sites web et aux demandes de création. Ils ont été formés aux bonnes pratiques rédactionnelles pour l’accessibilité numérique. </w:t>
      </w:r>
      <w:r>
        <w:br/>
        <w:t xml:space="preserve">Lors de chaque ouverture de site, ils vérifient les critères RGAA 4.1, dédiés aux images, à la rédaction, aux tableaux et aux contrastes. Ils consultent le référent accessibilité numérique pour la validation. </w:t>
      </w:r>
    </w:p>
    <w:p w14:paraId="06E4C5A4" w14:textId="77777777" w:rsidR="00E85C0F" w:rsidRDefault="00C02AAC">
      <w:r>
        <w:t xml:space="preserve">Lors de ce processus, des tests sont effectués avec l’aide d’outils tels que </w:t>
      </w:r>
    </w:p>
    <w:p w14:paraId="117ED86F" w14:textId="77777777" w:rsidR="00E85C0F" w:rsidRDefault="00C02AAC">
      <w:pPr>
        <w:numPr>
          <w:ilvl w:val="0"/>
          <w:numId w:val="11"/>
        </w:numPr>
      </w:pPr>
      <w:proofErr w:type="spellStart"/>
      <w:r>
        <w:t>HeadingsMap</w:t>
      </w:r>
      <w:proofErr w:type="spellEnd"/>
      <w:r>
        <w:t xml:space="preserve">, </w:t>
      </w:r>
    </w:p>
    <w:p w14:paraId="4A41C21C" w14:textId="77777777" w:rsidR="00E85C0F" w:rsidRDefault="00C02AAC">
      <w:pPr>
        <w:numPr>
          <w:ilvl w:val="0"/>
          <w:numId w:val="11"/>
        </w:numPr>
      </w:pPr>
      <w:proofErr w:type="spellStart"/>
      <w:r>
        <w:t>ColorZilla</w:t>
      </w:r>
      <w:proofErr w:type="spellEnd"/>
      <w:r>
        <w:t xml:space="preserve">, </w:t>
      </w:r>
    </w:p>
    <w:p w14:paraId="57C09751" w14:textId="77777777" w:rsidR="00E85C0F" w:rsidRDefault="00C02AAC">
      <w:pPr>
        <w:numPr>
          <w:ilvl w:val="0"/>
          <w:numId w:val="11"/>
        </w:numPr>
      </w:pPr>
      <w:proofErr w:type="spellStart"/>
      <w:r>
        <w:t>Tanaguru</w:t>
      </w:r>
      <w:proofErr w:type="spellEnd"/>
      <w:r>
        <w:t xml:space="preserve"> </w:t>
      </w:r>
      <w:proofErr w:type="spellStart"/>
      <w:r>
        <w:t>Contrast</w:t>
      </w:r>
      <w:proofErr w:type="spellEnd"/>
      <w:r>
        <w:t xml:space="preserve"> Finder </w:t>
      </w:r>
    </w:p>
    <w:p w14:paraId="1279F4E4" w14:textId="77777777" w:rsidR="00E85C0F" w:rsidRDefault="00C02AAC">
      <w:pPr>
        <w:numPr>
          <w:ilvl w:val="0"/>
          <w:numId w:val="11"/>
        </w:numPr>
      </w:pPr>
      <w:proofErr w:type="spellStart"/>
      <w:r>
        <w:t>Wave</w:t>
      </w:r>
      <w:proofErr w:type="spellEnd"/>
      <w:r>
        <w:t xml:space="preserve">. </w:t>
      </w:r>
    </w:p>
    <w:p w14:paraId="6BB488F8" w14:textId="77777777" w:rsidR="00E85C0F" w:rsidRDefault="00C02AAC">
      <w:r>
        <w:t xml:space="preserve">Les contributeurs au </w:t>
      </w:r>
      <w:proofErr w:type="spellStart"/>
      <w:r>
        <w:t>CMS</w:t>
      </w:r>
      <w:proofErr w:type="spellEnd"/>
      <w:r>
        <w:t xml:space="preserve"> (content management system) TYPO3 sont régulièrement formés aux bonnes pratiques rédactionnelles. </w:t>
      </w:r>
    </w:p>
    <w:p w14:paraId="07F79080" w14:textId="77777777" w:rsidR="00E85C0F" w:rsidRDefault="00C02AAC">
      <w:r>
        <w:rPr>
          <w:szCs w:val="22"/>
        </w:rPr>
        <w:t xml:space="preserve">Les sites web de l’université font l'objet d'un suivi régulier et il peut être demandé aux </w:t>
      </w:r>
      <w:r>
        <w:rPr>
          <w:color w:val="000000"/>
          <w:szCs w:val="22"/>
        </w:rPr>
        <w:t>webmestres d’effectuer des corrections liées à l'accessibilité numérique.</w:t>
      </w:r>
    </w:p>
    <w:p w14:paraId="3F6F4276" w14:textId="77777777" w:rsidR="00E85C0F" w:rsidRDefault="00C02AAC">
      <w:pPr>
        <w:pStyle w:val="Titre3"/>
        <w:ind w:firstLine="0"/>
      </w:pPr>
      <w:bookmarkStart w:id="23" w:name="_Toc214462489"/>
      <w:r>
        <w:t>Tests usagers</w:t>
      </w:r>
      <w:bookmarkEnd w:id="23"/>
    </w:p>
    <w:p w14:paraId="2A55790B" w14:textId="77777777" w:rsidR="00E85C0F" w:rsidRDefault="00C02AAC">
      <w:r>
        <w:t>Il est important pour l'Université de Lille d'avoir des retours d'usagers en situation de handicap afin d'améliorer l’expérience utilisateur.</w:t>
      </w:r>
    </w:p>
    <w:p w14:paraId="2C115C1C" w14:textId="77777777" w:rsidR="00E85C0F" w:rsidRDefault="00C02AAC">
      <w:r>
        <w:t>Ainsi, l’université s’appuie sur un groupe d’usagers, actuellement constitué d’une dizaine d’étudiants en situation de handicap pour la réalisation de tests d’accessibilité numérique. Des personnels de l’université seront intégrés à ce groupe.</w:t>
      </w:r>
      <w:r>
        <w:br/>
        <w:t>Des réunions biannuelles sont prévues tout au long de la durée du SPAN.</w:t>
      </w:r>
    </w:p>
    <w:p w14:paraId="05B0C6FB" w14:textId="77777777" w:rsidR="00E85C0F" w:rsidRDefault="00C02AAC">
      <w:r>
        <w:t>À chaque projet majeur (nouveau site web, application mobile) des tests usagers seront organisés, durant les différentes phases d’avancement. Ces tests ont vocation à identifier et corriger les blocages, erreurs critiques et prioriser les évolutions.</w:t>
      </w:r>
    </w:p>
    <w:p w14:paraId="2B012BA4" w14:textId="77777777" w:rsidR="00E85C0F" w:rsidRDefault="00C02AAC">
      <w:r>
        <w:t xml:space="preserve">Des tests usagers ont déjà été effectués sur le site de l’université et l’ENT (Firefox / </w:t>
      </w:r>
      <w:proofErr w:type="spellStart"/>
      <w:r>
        <w:t>NVDA</w:t>
      </w:r>
      <w:proofErr w:type="spellEnd"/>
      <w:r>
        <w:t xml:space="preserve">, Android </w:t>
      </w:r>
      <w:proofErr w:type="spellStart"/>
      <w:r>
        <w:t>TalkBack</w:t>
      </w:r>
      <w:proofErr w:type="spellEnd"/>
      <w:r>
        <w:t>) et ont permis des correctifs et améliorations.</w:t>
      </w:r>
    </w:p>
    <w:p w14:paraId="66F407FF" w14:textId="77777777" w:rsidR="00E85C0F" w:rsidRDefault="00C02AAC">
      <w:pPr>
        <w:pStyle w:val="Titre3"/>
        <w:ind w:firstLine="0"/>
      </w:pPr>
      <w:bookmarkStart w:id="24" w:name="_Toc214462490"/>
      <w:r>
        <w:t>Traitement des retours usagers</w:t>
      </w:r>
      <w:bookmarkEnd w:id="24"/>
    </w:p>
    <w:p w14:paraId="3AE39E2C" w14:textId="77777777" w:rsidR="00E85C0F" w:rsidRDefault="00C02AAC">
      <w:pPr>
        <w:numPr>
          <w:ilvl w:val="0"/>
          <w:numId w:val="12"/>
        </w:numPr>
      </w:pPr>
      <w:r>
        <w:t xml:space="preserve">Une attention particulière est accordée au traitement des retours utilisateurs concernant l'accessibilité numérique et le respect du RGAA 4.1. </w:t>
      </w:r>
      <w:r>
        <w:br/>
        <w:t xml:space="preserve">Le référent en accessibilité numérique est disponible pour toute question ou demande d'information à l'adresse ran@univ-lille.fr. </w:t>
      </w:r>
      <w:r>
        <w:br/>
        <w:t>Le comité de pilotage est joignable à l'adresse accessibilite@univ-lille.fr.</w:t>
      </w:r>
    </w:p>
    <w:p w14:paraId="4937E456" w14:textId="77777777" w:rsidR="00E85C0F" w:rsidRDefault="00C02AAC">
      <w:pPr>
        <w:numPr>
          <w:ilvl w:val="0"/>
          <w:numId w:val="12"/>
        </w:numPr>
      </w:pPr>
      <w:r>
        <w:lastRenderedPageBreak/>
        <w:t xml:space="preserve">Pour faciliter les demandes et améliorer leur suivi, un formulaire dédié va être mis en place sur la plateforme d'assistance </w:t>
      </w:r>
      <w:proofErr w:type="spellStart"/>
      <w:r>
        <w:t>GLPI</w:t>
      </w:r>
      <w:proofErr w:type="spellEnd"/>
      <w:r>
        <w:t xml:space="preserve"> assistance.univ-lille.fr. Cette initiative vise à simplifier le processus de traitement des demandes.</w:t>
      </w:r>
    </w:p>
    <w:p w14:paraId="003F95BB" w14:textId="77777777" w:rsidR="00E85C0F" w:rsidRDefault="00C02AAC">
      <w:pPr>
        <w:numPr>
          <w:ilvl w:val="0"/>
          <w:numId w:val="12"/>
        </w:numPr>
      </w:pPr>
      <w:r>
        <w:t xml:space="preserve">Le </w:t>
      </w:r>
      <w:proofErr w:type="spellStart"/>
      <w:r>
        <w:t>COPILAN</w:t>
      </w:r>
      <w:proofErr w:type="spellEnd"/>
      <w:r>
        <w:t xml:space="preserve"> mettra en place une stratégie de communication dédiée à l’accessibilité numérique: diffusion d’informations (prochaines dates de formation, conseils pratiques,  etc..) sur les réseaux sociaux, dans les newsletters de l’université, dans l’ENT des personnels et des étudiants, et dans le cycle de formation d’accessibilité numérique (</w:t>
      </w:r>
      <w:proofErr w:type="spellStart"/>
      <w:r>
        <w:t>access’cycle</w:t>
      </w:r>
      <w:proofErr w:type="spellEnd"/>
      <w:r>
        <w:t>) etc.</w:t>
      </w:r>
    </w:p>
    <w:p w14:paraId="225FDC49" w14:textId="77777777" w:rsidR="00E85C0F" w:rsidRDefault="00C02AAC">
      <w:pPr>
        <w:numPr>
          <w:ilvl w:val="0"/>
          <w:numId w:val="12"/>
        </w:numPr>
      </w:pPr>
      <w:r>
        <w:t xml:space="preserve">Concernant nos plateformes pédagogiques Moodle, un système de </w:t>
      </w:r>
      <w:proofErr w:type="spellStart"/>
      <w:r>
        <w:t>ticketing</w:t>
      </w:r>
      <w:proofErr w:type="spellEnd"/>
      <w:r>
        <w:t xml:space="preserve"> est opérationnel. Les demandes liées à l'accessibilité numérique sont redirigées vers le </w:t>
      </w:r>
      <w:proofErr w:type="spellStart"/>
      <w:r>
        <w:t>COPILAN</w:t>
      </w:r>
      <w:proofErr w:type="spellEnd"/>
      <w:r>
        <w:t xml:space="preserve"> pour un traitement approprié.</w:t>
      </w:r>
      <w:r>
        <w:br w:type="page"/>
      </w:r>
    </w:p>
    <w:p w14:paraId="52929C95" w14:textId="77777777" w:rsidR="00E85C0F" w:rsidRDefault="00C02AAC">
      <w:pPr>
        <w:pStyle w:val="Titre1"/>
      </w:pPr>
      <w:bookmarkStart w:id="25" w:name="_Toc214462491"/>
      <w:bookmarkStart w:id="26" w:name="__DdeLink__3942_594868669"/>
      <w:r>
        <w:lastRenderedPageBreak/>
        <w:t>Plans d’action</w:t>
      </w:r>
      <w:bookmarkEnd w:id="25"/>
      <w:r>
        <w:t xml:space="preserve"> </w:t>
      </w:r>
    </w:p>
    <w:p w14:paraId="5D8DF3F7" w14:textId="77777777" w:rsidR="00E85C0F" w:rsidRDefault="00C02AAC">
      <w:pPr>
        <w:pStyle w:val="Titre2"/>
        <w:ind w:firstLine="0"/>
      </w:pPr>
      <w:bookmarkStart w:id="27" w:name="_Toc214462492"/>
      <w:r>
        <w:t>2026</w:t>
      </w:r>
      <w:bookmarkEnd w:id="27"/>
    </w:p>
    <w:p w14:paraId="29D543E4" w14:textId="77777777" w:rsidR="00E85C0F" w:rsidRDefault="00C02AAC">
      <w:pPr>
        <w:pStyle w:val="Corpsdetexte"/>
        <w:numPr>
          <w:ilvl w:val="0"/>
          <w:numId w:val="13"/>
        </w:numPr>
      </w:pPr>
      <w:r>
        <w:rPr>
          <w:b/>
          <w:bCs/>
        </w:rPr>
        <w:t>Audits, mises en conformité, procédures </w:t>
      </w:r>
      <w:r>
        <w:t>:</w:t>
      </w:r>
    </w:p>
    <w:p w14:paraId="759A50A6" w14:textId="77777777" w:rsidR="00E85C0F" w:rsidRDefault="00C02AAC">
      <w:pPr>
        <w:numPr>
          <w:ilvl w:val="1"/>
          <w:numId w:val="13"/>
        </w:numPr>
      </w:pPr>
      <w:r>
        <w:t>Audit de l’Environnement numérique de travail + page authentification CAS</w:t>
      </w:r>
    </w:p>
    <w:p w14:paraId="3C14F3CE" w14:textId="77777777" w:rsidR="00E85C0F" w:rsidRDefault="00C02AAC">
      <w:pPr>
        <w:numPr>
          <w:ilvl w:val="1"/>
          <w:numId w:val="13"/>
        </w:numPr>
        <w:rPr>
          <w:color w:val="000000"/>
        </w:rPr>
      </w:pPr>
      <w:r>
        <w:rPr>
          <w:color w:val="000000"/>
        </w:rPr>
        <w:t>Création d’un design system accessible.</w:t>
      </w:r>
    </w:p>
    <w:p w14:paraId="0AD9F749" w14:textId="77777777" w:rsidR="00E85C0F" w:rsidRDefault="00C02AAC">
      <w:pPr>
        <w:numPr>
          <w:ilvl w:val="1"/>
          <w:numId w:val="13"/>
        </w:numPr>
        <w:rPr>
          <w:color w:val="000000"/>
          <w:szCs w:val="22"/>
        </w:rPr>
      </w:pPr>
      <w:r>
        <w:rPr>
          <w:color w:val="000000"/>
          <w:szCs w:val="22"/>
        </w:rPr>
        <w:t xml:space="preserve">Analyse de la conformité des pages de processus d’inscription et de réinscription à l’Université de Lille, suivie de phases correctives dans la mesure de nos accès (mode </w:t>
      </w:r>
      <w:proofErr w:type="spellStart"/>
      <w:r>
        <w:rPr>
          <w:color w:val="000000"/>
          <w:szCs w:val="22"/>
        </w:rPr>
        <w:t>saas</w:t>
      </w:r>
      <w:proofErr w:type="spellEnd"/>
      <w:r>
        <w:rPr>
          <w:color w:val="000000"/>
          <w:szCs w:val="22"/>
        </w:rPr>
        <w:t xml:space="preserve">, accès limité aux </w:t>
      </w:r>
      <w:proofErr w:type="spellStart"/>
      <w:r>
        <w:rPr>
          <w:color w:val="000000"/>
          <w:szCs w:val="22"/>
        </w:rPr>
        <w:t>templates</w:t>
      </w:r>
      <w:proofErr w:type="spellEnd"/>
      <w:r>
        <w:rPr>
          <w:color w:val="000000"/>
          <w:szCs w:val="22"/>
        </w:rPr>
        <w:t xml:space="preserve">, </w:t>
      </w:r>
      <w:proofErr w:type="spellStart"/>
      <w:r>
        <w:rPr>
          <w:color w:val="000000"/>
          <w:szCs w:val="22"/>
        </w:rPr>
        <w:t>css</w:t>
      </w:r>
      <w:proofErr w:type="spellEnd"/>
      <w:r>
        <w:rPr>
          <w:color w:val="000000"/>
          <w:szCs w:val="22"/>
        </w:rPr>
        <w:t xml:space="preserve"> etc.)</w:t>
      </w:r>
    </w:p>
    <w:p w14:paraId="66F07000" w14:textId="77777777" w:rsidR="00E85C0F" w:rsidRDefault="00C02AAC">
      <w:pPr>
        <w:numPr>
          <w:ilvl w:val="1"/>
          <w:numId w:val="13"/>
        </w:numPr>
      </w:pPr>
      <w:r>
        <w:t>Sites de composantes et facultés (socle commun TYPO3, usine à sites) et phase corrective</w:t>
      </w:r>
    </w:p>
    <w:p w14:paraId="3105B0F4" w14:textId="77777777" w:rsidR="00E85C0F" w:rsidRDefault="00C02AAC">
      <w:pPr>
        <w:pStyle w:val="Paragraphedeliste"/>
        <w:numPr>
          <w:ilvl w:val="1"/>
          <w:numId w:val="13"/>
        </w:numPr>
      </w:pPr>
      <w:r>
        <w:t xml:space="preserve">Ajout d’une « déclaration sur l’honneur pour respecter notre guide de bonnes pratiques et les notices </w:t>
      </w:r>
      <w:proofErr w:type="spellStart"/>
      <w:r>
        <w:t>AccesdeWeb</w:t>
      </w:r>
      <w:proofErr w:type="spellEnd"/>
      <w:r>
        <w:t> » pour toute nouvelle demande d’hébergement de type « espace docker » et « machine virtuelle »</w:t>
      </w:r>
      <w:bookmarkEnd w:id="26"/>
    </w:p>
    <w:p w14:paraId="42624B45" w14:textId="77777777" w:rsidR="00E85C0F" w:rsidRDefault="00C02AAC">
      <w:pPr>
        <w:pStyle w:val="Paragraphedeliste"/>
        <w:numPr>
          <w:ilvl w:val="1"/>
          <w:numId w:val="13"/>
        </w:numPr>
      </w:pPr>
      <w:r>
        <w:t>Début de l’étude sur la conformité des plugins Moodle utilisés</w:t>
      </w:r>
    </w:p>
    <w:p w14:paraId="4FEE6C9C" w14:textId="77777777" w:rsidR="00E85C0F" w:rsidRDefault="00C02AAC">
      <w:pPr>
        <w:pStyle w:val="Paragraphedeliste"/>
        <w:numPr>
          <w:ilvl w:val="1"/>
          <w:numId w:val="13"/>
        </w:numPr>
      </w:pPr>
      <w:r>
        <w:t xml:space="preserve">Mise en conformité </w:t>
      </w:r>
      <w:proofErr w:type="spellStart"/>
      <w:r>
        <w:t>RAAM</w:t>
      </w:r>
      <w:proofErr w:type="spellEnd"/>
      <w:r>
        <w:t xml:space="preserve"> 1 (</w:t>
      </w:r>
      <w:r>
        <w:rPr>
          <w:rFonts w:ascii="Fira Sans;apple-system;BlinkMac" w:hAnsi="Fira Sans;apple-system;BlinkMac"/>
        </w:rPr>
        <w:t xml:space="preserve">Référentiel d'évaluation de l'accessibilité des applications mobiles </w:t>
      </w:r>
      <w:r>
        <w:t>de l’application) de l’</w:t>
      </w:r>
      <w:hyperlink r:id="rId15">
        <w:r>
          <w:rPr>
            <w:rStyle w:val="Lienhypertexte"/>
          </w:rPr>
          <w:t xml:space="preserve">application mobile étudiante </w:t>
        </w:r>
        <w:proofErr w:type="spellStart"/>
        <w:r>
          <w:rPr>
            <w:rStyle w:val="Lienhypertexte"/>
            <w:color w:val="auto"/>
          </w:rPr>
          <w:t>Lilu</w:t>
        </w:r>
        <w:proofErr w:type="spellEnd"/>
      </w:hyperlink>
    </w:p>
    <w:p w14:paraId="08C96EA6" w14:textId="77777777" w:rsidR="00E85C0F" w:rsidRDefault="00C02AAC">
      <w:pPr>
        <w:pStyle w:val="Paragraphedeliste"/>
        <w:numPr>
          <w:ilvl w:val="1"/>
          <w:numId w:val="13"/>
        </w:numPr>
      </w:pPr>
      <w:r>
        <w:t xml:space="preserve">Début de la mise en conformité de l’ensemble des </w:t>
      </w:r>
      <w:proofErr w:type="spellStart"/>
      <w:r>
        <w:t>pdf</w:t>
      </w:r>
      <w:proofErr w:type="spellEnd"/>
      <w:r>
        <w:t xml:space="preserve"> de la nouvelle offre de formation de l’Université de Lille.</w:t>
      </w:r>
    </w:p>
    <w:p w14:paraId="32A67ED8" w14:textId="77777777" w:rsidR="00E85C0F" w:rsidRDefault="00C02AAC">
      <w:pPr>
        <w:pStyle w:val="Paragraphedeliste"/>
        <w:numPr>
          <w:ilvl w:val="1"/>
          <w:numId w:val="13"/>
        </w:numPr>
        <w:spacing w:after="0"/>
        <w:contextualSpacing w:val="0"/>
      </w:pPr>
      <w:r>
        <w:t>Audit des sites du nouveau socle pour les sites institutionnels des Bibliothèques Universitaires (BU) (socle commun Typo3 v12)</w:t>
      </w:r>
    </w:p>
    <w:p w14:paraId="385CE236" w14:textId="77777777" w:rsidR="00E85C0F" w:rsidRDefault="00C02AAC">
      <w:pPr>
        <w:pStyle w:val="Paragraphedeliste"/>
        <w:numPr>
          <w:ilvl w:val="1"/>
          <w:numId w:val="13"/>
        </w:numPr>
      </w:pPr>
      <w:r>
        <w:t>Stabilisation de l’amélioration de l’accessibilité numérique de la plateforme enquetes.univ-lille.fr (</w:t>
      </w:r>
      <w:proofErr w:type="spellStart"/>
      <w:r>
        <w:t>Limesurvey</w:t>
      </w:r>
      <w:proofErr w:type="spellEnd"/>
      <w:r>
        <w:t>) de l’université</w:t>
      </w:r>
    </w:p>
    <w:p w14:paraId="5E5EFEDE" w14:textId="77777777" w:rsidR="00E85C0F" w:rsidRDefault="00C02AAC">
      <w:pPr>
        <w:pStyle w:val="Paragraphedeliste"/>
        <w:numPr>
          <w:ilvl w:val="1"/>
          <w:numId w:val="13"/>
        </w:numPr>
        <w:spacing w:after="0"/>
      </w:pPr>
      <w:r>
        <w:t xml:space="preserve">Travail de conformité de la plate-forme d’assistance </w:t>
      </w:r>
      <w:proofErr w:type="spellStart"/>
      <w:r>
        <w:t>GLPI</w:t>
      </w:r>
      <w:proofErr w:type="spellEnd"/>
      <w:r>
        <w:t xml:space="preserve"> aux critères légaux d’accessibilité numérique.</w:t>
      </w:r>
    </w:p>
    <w:p w14:paraId="10FF6F1C" w14:textId="77777777" w:rsidR="00E85C0F" w:rsidRDefault="00C02AAC">
      <w:pPr>
        <w:pStyle w:val="Corpsdetexte"/>
        <w:numPr>
          <w:ilvl w:val="0"/>
          <w:numId w:val="13"/>
        </w:numPr>
        <w:spacing w:before="170" w:after="142"/>
        <w:rPr>
          <w:b/>
          <w:bCs/>
        </w:rPr>
      </w:pPr>
      <w:r>
        <w:rPr>
          <w:b/>
          <w:bCs/>
        </w:rPr>
        <w:t>Organisation, divers</w:t>
      </w:r>
    </w:p>
    <w:p w14:paraId="32563AE6" w14:textId="77777777" w:rsidR="00E85C0F" w:rsidRDefault="00C02AAC">
      <w:pPr>
        <w:numPr>
          <w:ilvl w:val="1"/>
          <w:numId w:val="20"/>
        </w:numPr>
      </w:pPr>
      <w:r>
        <w:t>2 réunions avec le comité d’usagers</w:t>
      </w:r>
    </w:p>
    <w:p w14:paraId="311E4619" w14:textId="77777777" w:rsidR="00E85C0F" w:rsidRDefault="00C02AAC">
      <w:pPr>
        <w:numPr>
          <w:ilvl w:val="1"/>
          <w:numId w:val="21"/>
        </w:numPr>
      </w:pPr>
      <w:r>
        <w:t>8 réunions du comité de pilotage (</w:t>
      </w:r>
      <w:proofErr w:type="spellStart"/>
      <w:r>
        <w:t>COPILAN</w:t>
      </w:r>
      <w:proofErr w:type="spellEnd"/>
      <w:r>
        <w:t>)</w:t>
      </w:r>
    </w:p>
    <w:p w14:paraId="7173FDED" w14:textId="77777777" w:rsidR="00E85C0F" w:rsidRDefault="00C02AAC">
      <w:pPr>
        <w:numPr>
          <w:ilvl w:val="1"/>
          <w:numId w:val="22"/>
        </w:numPr>
      </w:pPr>
      <w:r>
        <w:t xml:space="preserve">Engagement de l’Université de Lille à mettre à disposition progressivement, auprès de ses usagers, le module de e-learning de sensibilisation à l’accessibilité numérique conçue par la </w:t>
      </w:r>
      <w:hyperlink r:id="rId16">
        <w:r>
          <w:rPr>
            <w:rStyle w:val="Lienhypertexte"/>
          </w:rPr>
          <w:t>Content Square Fondation</w:t>
        </w:r>
      </w:hyperlink>
      <w:r>
        <w:t>.</w:t>
      </w:r>
    </w:p>
    <w:p w14:paraId="09E16CEE" w14:textId="77777777" w:rsidR="00E85C0F" w:rsidRDefault="00C02AAC">
      <w:pPr>
        <w:numPr>
          <w:ilvl w:val="1"/>
          <w:numId w:val="13"/>
        </w:numPr>
        <w:rPr>
          <w:color w:val="000000"/>
          <w:szCs w:val="22"/>
        </w:rPr>
      </w:pPr>
      <w:r>
        <w:rPr>
          <w:color w:val="000000"/>
          <w:szCs w:val="22"/>
        </w:rPr>
        <w:t>Participation active au groupe de travail AN du Comité des Services Informatiques de l'Enseignement Supérieur et de la Recherche (</w:t>
      </w:r>
      <w:proofErr w:type="spellStart"/>
      <w:r>
        <w:rPr>
          <w:color w:val="000000"/>
          <w:szCs w:val="22"/>
        </w:rPr>
        <w:t>CSIESR</w:t>
      </w:r>
      <w:proofErr w:type="spellEnd"/>
      <w:r>
        <w:rPr>
          <w:color w:val="000000"/>
          <w:szCs w:val="22"/>
        </w:rPr>
        <w:t>) et au processus de création d’une Association Nationale Professionnelle des Référents Accessibilité Numérique de l’Enseignement Supérieur et de la Recherche (</w:t>
      </w:r>
      <w:proofErr w:type="spellStart"/>
      <w:r>
        <w:rPr>
          <w:color w:val="000000"/>
          <w:szCs w:val="22"/>
        </w:rPr>
        <w:t>APRANESR</w:t>
      </w:r>
      <w:proofErr w:type="spellEnd"/>
      <w:r>
        <w:rPr>
          <w:color w:val="000000"/>
          <w:szCs w:val="22"/>
        </w:rPr>
        <w:t>)</w:t>
      </w:r>
    </w:p>
    <w:p w14:paraId="6B9DE59E" w14:textId="77777777" w:rsidR="00E85C0F" w:rsidRDefault="00C02AAC">
      <w:pPr>
        <w:pStyle w:val="Titre2"/>
        <w:ind w:firstLine="0"/>
      </w:pPr>
      <w:bookmarkStart w:id="28" w:name="_Toc214462493"/>
      <w:r>
        <w:lastRenderedPageBreak/>
        <w:t>2027</w:t>
      </w:r>
      <w:bookmarkEnd w:id="28"/>
    </w:p>
    <w:p w14:paraId="237EC8E0" w14:textId="77777777" w:rsidR="00E85C0F" w:rsidRDefault="00C02AAC">
      <w:pPr>
        <w:pStyle w:val="Corpsdetexte"/>
        <w:numPr>
          <w:ilvl w:val="0"/>
          <w:numId w:val="13"/>
        </w:numPr>
        <w:rPr>
          <w:b/>
          <w:bCs/>
        </w:rPr>
      </w:pPr>
      <w:r>
        <w:rPr>
          <w:b/>
          <w:bCs/>
        </w:rPr>
        <w:t>Audit et mise en conformité :</w:t>
      </w:r>
    </w:p>
    <w:p w14:paraId="51ECF132" w14:textId="77777777" w:rsidR="00E85C0F" w:rsidRDefault="00C02AAC">
      <w:pPr>
        <w:numPr>
          <w:ilvl w:val="1"/>
          <w:numId w:val="13"/>
        </w:numPr>
      </w:pPr>
      <w:r>
        <w:t>Sites de laboratoires de recherche (socle commun TYPO3) et phase corrective</w:t>
      </w:r>
    </w:p>
    <w:p w14:paraId="09EDF15F" w14:textId="77777777" w:rsidR="00E85C0F" w:rsidRDefault="00C02AAC">
      <w:pPr>
        <w:numPr>
          <w:ilvl w:val="1"/>
          <w:numId w:val="13"/>
        </w:numPr>
      </w:pPr>
      <w:r>
        <w:t xml:space="preserve">Sites de formation (socle commun TYPO3) et nouvelle </w:t>
      </w:r>
    </w:p>
    <w:p w14:paraId="085173B3" w14:textId="77777777" w:rsidR="00E85C0F" w:rsidRDefault="00C02AAC">
      <w:pPr>
        <w:pStyle w:val="Paragraphedeliste"/>
        <w:numPr>
          <w:ilvl w:val="0"/>
          <w:numId w:val="13"/>
        </w:numPr>
        <w:spacing w:before="113" w:after="113"/>
        <w:contextualSpacing w:val="0"/>
        <w:rPr>
          <w:b/>
          <w:bCs/>
        </w:rPr>
      </w:pPr>
      <w:r>
        <w:rPr>
          <w:b/>
          <w:bCs/>
        </w:rPr>
        <w:t>Actions de formations</w:t>
      </w:r>
    </w:p>
    <w:p w14:paraId="37D0579F" w14:textId="77777777" w:rsidR="00E85C0F" w:rsidRDefault="00C02AAC">
      <w:pPr>
        <w:numPr>
          <w:ilvl w:val="1"/>
          <w:numId w:val="13"/>
        </w:numPr>
      </w:pPr>
      <w:r>
        <w:t>Sessions de formations développeur web (12 personnes minima)</w:t>
      </w:r>
    </w:p>
    <w:p w14:paraId="4EBE2E13" w14:textId="77777777" w:rsidR="00E85C0F" w:rsidRDefault="00C02AAC">
      <w:pPr>
        <w:numPr>
          <w:ilvl w:val="1"/>
          <w:numId w:val="13"/>
        </w:numPr>
      </w:pPr>
      <w:r>
        <w:t>Reprise de notre cycle de formation à l’Accessibilité Numérique (</w:t>
      </w:r>
      <w:proofErr w:type="spellStart"/>
      <w:r>
        <w:t>Access’Cycle</w:t>
      </w:r>
      <w:proofErr w:type="spellEnd"/>
      <w:r>
        <w:t>)</w:t>
      </w:r>
    </w:p>
    <w:p w14:paraId="70FA7B65" w14:textId="77777777" w:rsidR="00E85C0F" w:rsidRDefault="00C02AAC">
      <w:pPr>
        <w:numPr>
          <w:ilvl w:val="1"/>
          <w:numId w:val="13"/>
        </w:numPr>
      </w:pPr>
      <w:r>
        <w:t>Interventions ponctuelles du référent accessibilité numérique dans des formations de l’Université de Lille (BUT, licence…)</w:t>
      </w:r>
    </w:p>
    <w:p w14:paraId="545CD27E" w14:textId="77777777" w:rsidR="00E85C0F" w:rsidRDefault="00C02AAC">
      <w:pPr>
        <w:numPr>
          <w:ilvl w:val="1"/>
          <w:numId w:val="13"/>
        </w:numPr>
      </w:pPr>
      <w:r>
        <w:t xml:space="preserve">Interventions de membres du </w:t>
      </w:r>
      <w:proofErr w:type="spellStart"/>
      <w:r>
        <w:t>COPILAN</w:t>
      </w:r>
      <w:proofErr w:type="spellEnd"/>
      <w:r>
        <w:t xml:space="preserve"> dans les formations doctorales</w:t>
      </w:r>
    </w:p>
    <w:p w14:paraId="1EBC99AC" w14:textId="77777777" w:rsidR="00E85C0F" w:rsidRDefault="00C02AAC">
      <w:pPr>
        <w:pStyle w:val="Corpsdetexte"/>
        <w:numPr>
          <w:ilvl w:val="0"/>
          <w:numId w:val="13"/>
        </w:numPr>
        <w:spacing w:before="228" w:after="368"/>
        <w:rPr>
          <w:b/>
          <w:bCs/>
        </w:rPr>
      </w:pPr>
      <w:r>
        <w:rPr>
          <w:b/>
          <w:bCs/>
        </w:rPr>
        <w:t>Organisation, divers</w:t>
      </w:r>
    </w:p>
    <w:p w14:paraId="44602896" w14:textId="77777777" w:rsidR="00E85C0F" w:rsidRDefault="00C02AAC">
      <w:pPr>
        <w:numPr>
          <w:ilvl w:val="1"/>
          <w:numId w:val="13"/>
        </w:numPr>
      </w:pPr>
      <w:r>
        <w:t>Mise en place d’automatisation de tests A11y dans notre environnement de développement.</w:t>
      </w:r>
    </w:p>
    <w:p w14:paraId="3801D8CF" w14:textId="77777777" w:rsidR="00E85C0F" w:rsidRDefault="00C02AAC">
      <w:pPr>
        <w:numPr>
          <w:ilvl w:val="1"/>
          <w:numId w:val="13"/>
        </w:numPr>
      </w:pPr>
      <w:r>
        <w:t>Prise en compte de l’accessibilité numérique dans l’élaboration d’appels d’offres et le choix de prestataires informatiques</w:t>
      </w:r>
    </w:p>
    <w:p w14:paraId="39E760A1" w14:textId="77777777" w:rsidR="00E85C0F" w:rsidRDefault="00C02AAC">
      <w:pPr>
        <w:numPr>
          <w:ilvl w:val="1"/>
          <w:numId w:val="13"/>
        </w:numPr>
      </w:pPr>
      <w:r>
        <w:t>Évolution de notre design system</w:t>
      </w:r>
    </w:p>
    <w:p w14:paraId="7C72DBBF" w14:textId="77777777" w:rsidR="00E85C0F" w:rsidRDefault="00C02AAC">
      <w:pPr>
        <w:numPr>
          <w:ilvl w:val="1"/>
          <w:numId w:val="13"/>
        </w:numPr>
      </w:pPr>
      <w:r>
        <w:t xml:space="preserve">Suivi des développements internes de la </w:t>
      </w:r>
      <w:proofErr w:type="spellStart"/>
      <w:r>
        <w:t>DGDNum</w:t>
      </w:r>
      <w:proofErr w:type="spellEnd"/>
    </w:p>
    <w:p w14:paraId="5D6537BB" w14:textId="77777777" w:rsidR="00E85C0F" w:rsidRDefault="00C02AAC">
      <w:pPr>
        <w:numPr>
          <w:ilvl w:val="1"/>
          <w:numId w:val="13"/>
        </w:numPr>
      </w:pPr>
      <w:r>
        <w:t>2 réunions avec le comité d’usagers</w:t>
      </w:r>
    </w:p>
    <w:p w14:paraId="0F17D8D4" w14:textId="77777777" w:rsidR="00E85C0F" w:rsidRDefault="00C02AAC">
      <w:pPr>
        <w:numPr>
          <w:ilvl w:val="1"/>
          <w:numId w:val="13"/>
        </w:numPr>
      </w:pPr>
      <w:r>
        <w:t>8 réunions du comité de pilotage (</w:t>
      </w:r>
      <w:proofErr w:type="spellStart"/>
      <w:r>
        <w:t>COPILAN</w:t>
      </w:r>
      <w:proofErr w:type="spellEnd"/>
      <w:r>
        <w:t>)</w:t>
      </w:r>
    </w:p>
    <w:p w14:paraId="20E5F2F7" w14:textId="77777777" w:rsidR="00E85C0F" w:rsidRDefault="00C02AAC">
      <w:pPr>
        <w:pStyle w:val="Titre2"/>
        <w:ind w:firstLine="0"/>
      </w:pPr>
      <w:bookmarkStart w:id="29" w:name="_Toc214462494"/>
      <w:r>
        <w:t>2028</w:t>
      </w:r>
      <w:bookmarkEnd w:id="29"/>
    </w:p>
    <w:p w14:paraId="30A6BF2E" w14:textId="77777777" w:rsidR="00E85C0F" w:rsidRDefault="00C02AAC">
      <w:pPr>
        <w:pStyle w:val="Corpsdetexte"/>
        <w:numPr>
          <w:ilvl w:val="0"/>
          <w:numId w:val="13"/>
        </w:numPr>
        <w:rPr>
          <w:b/>
          <w:bCs/>
        </w:rPr>
      </w:pPr>
      <w:r>
        <w:rPr>
          <w:b/>
          <w:bCs/>
        </w:rPr>
        <w:t>Audits et mises en conformité :</w:t>
      </w:r>
    </w:p>
    <w:p w14:paraId="08010C33" w14:textId="3F06FE9D" w:rsidR="00E85C0F" w:rsidRDefault="00C02AAC">
      <w:pPr>
        <w:numPr>
          <w:ilvl w:val="1"/>
          <w:numId w:val="13"/>
        </w:numPr>
      </w:pPr>
      <w:r>
        <w:t xml:space="preserve">Sites </w:t>
      </w:r>
      <w:r w:rsidR="00BA12C7">
        <w:t>événementiels (</w:t>
      </w:r>
      <w:r>
        <w:t xml:space="preserve">socle commun TYPO3) </w:t>
      </w:r>
    </w:p>
    <w:p w14:paraId="2B3DB4C1" w14:textId="77777777" w:rsidR="00E85C0F" w:rsidRDefault="00C02AAC">
      <w:pPr>
        <w:numPr>
          <w:ilvl w:val="1"/>
          <w:numId w:val="13"/>
        </w:numPr>
      </w:pPr>
      <w:r>
        <w:t>Audit de mise en conformité de la plateforme Moodle – Formation initiale</w:t>
      </w:r>
    </w:p>
    <w:p w14:paraId="794C1ABD" w14:textId="77777777" w:rsidR="00E85C0F" w:rsidRDefault="00C02AAC">
      <w:pPr>
        <w:pStyle w:val="Corpsdetexte"/>
        <w:numPr>
          <w:ilvl w:val="0"/>
          <w:numId w:val="13"/>
        </w:numPr>
        <w:spacing w:before="227" w:after="198" w:line="360" w:lineRule="auto"/>
        <w:rPr>
          <w:b/>
          <w:bCs/>
        </w:rPr>
      </w:pPr>
      <w:r>
        <w:rPr>
          <w:b/>
          <w:bCs/>
        </w:rPr>
        <w:t>Actions de formations</w:t>
      </w:r>
    </w:p>
    <w:p w14:paraId="77AAC190" w14:textId="77777777" w:rsidR="00E85C0F" w:rsidRDefault="00C02AAC">
      <w:pPr>
        <w:numPr>
          <w:ilvl w:val="1"/>
          <w:numId w:val="13"/>
        </w:numPr>
      </w:pPr>
      <w:r>
        <w:t>Sessions de formations développeur web (12 personnes minima)</w:t>
      </w:r>
    </w:p>
    <w:p w14:paraId="6CD0A9B8" w14:textId="77777777" w:rsidR="00E85C0F" w:rsidRDefault="00C02AAC">
      <w:pPr>
        <w:numPr>
          <w:ilvl w:val="1"/>
          <w:numId w:val="13"/>
        </w:numPr>
      </w:pPr>
      <w:r>
        <w:t>3 sessions de sensibilisation à l’accessibilité numérique auprès des (nouveaux) personnels administratifs et techniques (15 à 20 personnes par session)</w:t>
      </w:r>
    </w:p>
    <w:p w14:paraId="1C0BF427" w14:textId="411BBDA2" w:rsidR="007D2722" w:rsidRDefault="00C02AAC">
      <w:pPr>
        <w:numPr>
          <w:ilvl w:val="1"/>
          <w:numId w:val="13"/>
        </w:numPr>
      </w:pPr>
      <w:r>
        <w:t>2 sessions de sensibilisation à l’accessibilité numérique pour l'enseignement (15 à 20 personnes par session) (</w:t>
      </w:r>
      <w:proofErr w:type="spellStart"/>
      <w:r>
        <w:t>DAPI</w:t>
      </w:r>
      <w:proofErr w:type="spellEnd"/>
      <w:r>
        <w:t>)</w:t>
      </w:r>
    </w:p>
    <w:p w14:paraId="11A23CD6" w14:textId="77777777" w:rsidR="00E85C0F" w:rsidRDefault="00C02AAC">
      <w:pPr>
        <w:pStyle w:val="Corpsdetexte"/>
        <w:numPr>
          <w:ilvl w:val="0"/>
          <w:numId w:val="13"/>
        </w:numPr>
        <w:spacing w:before="170" w:after="198"/>
        <w:rPr>
          <w:b/>
          <w:bCs/>
        </w:rPr>
      </w:pPr>
      <w:r>
        <w:rPr>
          <w:b/>
          <w:bCs/>
        </w:rPr>
        <w:t>Organisation, divers</w:t>
      </w:r>
    </w:p>
    <w:p w14:paraId="180487DB" w14:textId="77777777" w:rsidR="00E85C0F" w:rsidRDefault="00C02AAC">
      <w:pPr>
        <w:numPr>
          <w:ilvl w:val="1"/>
          <w:numId w:val="13"/>
        </w:numPr>
        <w:rPr>
          <w:szCs w:val="22"/>
        </w:rPr>
      </w:pPr>
      <w:r>
        <w:rPr>
          <w:szCs w:val="22"/>
        </w:rPr>
        <w:lastRenderedPageBreak/>
        <w:t xml:space="preserve">Étude sur la conformité de plateforme d’enquêtes en ligne </w:t>
      </w:r>
      <w:proofErr w:type="spellStart"/>
      <w:r>
        <w:rPr>
          <w:szCs w:val="22"/>
        </w:rPr>
        <w:t>Limesurvey</w:t>
      </w:r>
      <w:proofErr w:type="spellEnd"/>
      <w:r>
        <w:rPr>
          <w:szCs w:val="22"/>
        </w:rPr>
        <w:t xml:space="preserve"> de l’Observatoire de la Direction des Formations (</w:t>
      </w:r>
      <w:proofErr w:type="spellStart"/>
      <w:r>
        <w:rPr>
          <w:szCs w:val="22"/>
        </w:rPr>
        <w:t>odif</w:t>
      </w:r>
      <w:proofErr w:type="spellEnd"/>
      <w:r>
        <w:rPr>
          <w:szCs w:val="22"/>
        </w:rPr>
        <w:t>) de l’université</w:t>
      </w:r>
    </w:p>
    <w:p w14:paraId="00DC932F" w14:textId="77777777" w:rsidR="00E85C0F" w:rsidRDefault="00C02AAC">
      <w:pPr>
        <w:numPr>
          <w:ilvl w:val="1"/>
          <w:numId w:val="13"/>
        </w:numPr>
      </w:pPr>
      <w:r>
        <w:t xml:space="preserve">Suivi des développements internes de la </w:t>
      </w:r>
      <w:proofErr w:type="spellStart"/>
      <w:r>
        <w:t>DGDNum</w:t>
      </w:r>
      <w:proofErr w:type="spellEnd"/>
    </w:p>
    <w:p w14:paraId="29073583" w14:textId="77777777" w:rsidR="00E85C0F" w:rsidRDefault="00C02AAC">
      <w:pPr>
        <w:numPr>
          <w:ilvl w:val="1"/>
          <w:numId w:val="13"/>
        </w:numPr>
      </w:pPr>
      <w:r>
        <w:t>2 réunions avec le comité d’usagers</w:t>
      </w:r>
    </w:p>
    <w:p w14:paraId="149CA85A" w14:textId="77777777" w:rsidR="00E85C0F" w:rsidRDefault="00C02AAC">
      <w:pPr>
        <w:numPr>
          <w:ilvl w:val="1"/>
          <w:numId w:val="13"/>
        </w:numPr>
      </w:pPr>
      <w:r>
        <w:t>8 réunions du comité de pilotage (</w:t>
      </w:r>
      <w:proofErr w:type="spellStart"/>
      <w:r>
        <w:t>COPILAN</w:t>
      </w:r>
      <w:proofErr w:type="spellEnd"/>
      <w:r>
        <w:t>)</w:t>
      </w:r>
      <w:r>
        <w:br w:type="page"/>
      </w:r>
    </w:p>
    <w:p w14:paraId="58F347CB" w14:textId="77777777" w:rsidR="00E85C0F" w:rsidRDefault="00C02AAC">
      <w:pPr>
        <w:pStyle w:val="Titre1"/>
      </w:pPr>
      <w:bookmarkStart w:id="30" w:name="Annexe1"/>
      <w:bookmarkStart w:id="31" w:name="_Toc214462495"/>
      <w:bookmarkEnd w:id="30"/>
      <w:r>
        <w:lastRenderedPageBreak/>
        <w:t>Annexe 1 : état des lieux des actions réalisées</w:t>
      </w:r>
      <w:bookmarkEnd w:id="31"/>
    </w:p>
    <w:p w14:paraId="081616B2" w14:textId="77777777" w:rsidR="00E85C0F" w:rsidRDefault="00C02AAC">
      <w:pPr>
        <w:pStyle w:val="Titre2"/>
        <w:ind w:firstLine="0"/>
      </w:pPr>
      <w:bookmarkStart w:id="32" w:name="_Toc214462496"/>
      <w:r>
        <w:rPr>
          <w:rStyle w:val="lev"/>
          <w:b/>
          <w:bCs/>
        </w:rPr>
        <w:t>Actions de formation</w:t>
      </w:r>
      <w:bookmarkEnd w:id="32"/>
    </w:p>
    <w:p w14:paraId="527161A9" w14:textId="77777777" w:rsidR="00E85C0F" w:rsidRDefault="00C02AAC">
      <w:pPr>
        <w:numPr>
          <w:ilvl w:val="0"/>
          <w:numId w:val="15"/>
        </w:numPr>
      </w:pPr>
      <w:r>
        <w:rPr>
          <w:b/>
          <w:bCs/>
        </w:rPr>
        <w:t>Accessibilité dans Moodle</w:t>
      </w:r>
      <w:r>
        <w:rPr>
          <w:b/>
          <w:bCs/>
        </w:rPr>
        <w:br/>
      </w:r>
      <w:r>
        <w:t xml:space="preserve">En 2023, trois agents de la </w:t>
      </w:r>
      <w:proofErr w:type="spellStart"/>
      <w:r>
        <w:t>DAPI</w:t>
      </w:r>
      <w:proofErr w:type="spellEnd"/>
      <w:r>
        <w:t xml:space="preserve"> ont suivi une formation autour de l'accessibilité sur Moodle proposée par l'Association Nationale des Services </w:t>
      </w:r>
      <w:proofErr w:type="spellStart"/>
      <w:r>
        <w:t>TICE</w:t>
      </w:r>
      <w:proofErr w:type="spellEnd"/>
      <w:r>
        <w:t xml:space="preserve"> et Audiovisuel de l'enseignement supérieur et de la recherche (</w:t>
      </w:r>
      <w:proofErr w:type="spellStart"/>
      <w:r>
        <w:t>ANSTIA</w:t>
      </w:r>
      <w:proofErr w:type="spellEnd"/>
      <w:r>
        <w:t>).</w:t>
      </w:r>
    </w:p>
    <w:p w14:paraId="62BC76AB" w14:textId="77777777" w:rsidR="00E85C0F" w:rsidRDefault="00C02AAC">
      <w:pPr>
        <w:numPr>
          <w:ilvl w:val="0"/>
          <w:numId w:val="15"/>
        </w:numPr>
        <w:rPr>
          <w:szCs w:val="22"/>
        </w:rPr>
      </w:pPr>
      <w:r>
        <w:rPr>
          <w:b/>
          <w:bCs/>
          <w:szCs w:val="22"/>
        </w:rPr>
        <w:t>Diplôme universitaire (DU) référent accessibilité numérique</w:t>
      </w:r>
      <w:r>
        <w:rPr>
          <w:szCs w:val="22"/>
        </w:rPr>
        <w:br/>
        <w:t xml:space="preserve">En 2023-2024, la référente handicap du </w:t>
      </w:r>
      <w:proofErr w:type="spellStart"/>
      <w:r>
        <w:rPr>
          <w:szCs w:val="22"/>
        </w:rPr>
        <w:t>SCD</w:t>
      </w:r>
      <w:proofErr w:type="spellEnd"/>
      <w:r>
        <w:rPr>
          <w:szCs w:val="22"/>
        </w:rPr>
        <w:t xml:space="preserve"> </w:t>
      </w:r>
      <w:r>
        <w:rPr>
          <w:color w:val="333333"/>
          <w:szCs w:val="22"/>
        </w:rPr>
        <w:t>a obtenu le Diplôme Universitaire de Référent Accessibilité Numérique (</w:t>
      </w:r>
      <w:proofErr w:type="spellStart"/>
      <w:r>
        <w:rPr>
          <w:color w:val="333333"/>
          <w:szCs w:val="22"/>
        </w:rPr>
        <w:t>DU-RAN</w:t>
      </w:r>
      <w:proofErr w:type="spellEnd"/>
      <w:r>
        <w:rPr>
          <w:color w:val="333333"/>
          <w:szCs w:val="22"/>
        </w:rPr>
        <w:t>) de l’Université de La Réunion.</w:t>
      </w:r>
      <w:r>
        <w:rPr>
          <w:szCs w:val="22"/>
        </w:rPr>
        <w:t xml:space="preserve"> .</w:t>
      </w:r>
    </w:p>
    <w:p w14:paraId="73217BFF" w14:textId="77777777" w:rsidR="00E85C0F" w:rsidRDefault="00C02AAC">
      <w:pPr>
        <w:numPr>
          <w:ilvl w:val="0"/>
          <w:numId w:val="15"/>
        </w:numPr>
      </w:pPr>
      <w:r>
        <w:rPr>
          <w:b/>
          <w:bCs/>
        </w:rPr>
        <w:t>Référent accessibilité numérique : piloter la politique accessibilité numérique au sein de son organisation (prestation externe)</w:t>
      </w:r>
      <w:r>
        <w:br/>
        <w:t>Le référent accessibilité numérique et son adjointe ont suivi cette formation en septembre 2022.</w:t>
      </w:r>
    </w:p>
    <w:p w14:paraId="669EEBD5" w14:textId="77777777" w:rsidR="00E85C0F" w:rsidRDefault="00C02AAC">
      <w:pPr>
        <w:numPr>
          <w:ilvl w:val="0"/>
          <w:numId w:val="15"/>
        </w:numPr>
      </w:pPr>
      <w:r>
        <w:rPr>
          <w:b/>
          <w:bCs/>
        </w:rPr>
        <w:t>Sensibilisations à l’accessibilité numérique pour l'enseignement</w:t>
      </w:r>
      <w:r>
        <w:rPr>
          <w:b/>
          <w:bCs/>
        </w:rPr>
        <w:br/>
      </w:r>
      <w:r>
        <w:t xml:space="preserve">La </w:t>
      </w:r>
      <w:proofErr w:type="spellStart"/>
      <w:r>
        <w:t>DAPI</w:t>
      </w:r>
      <w:proofErr w:type="spellEnd"/>
      <w:r>
        <w:t xml:space="preserve"> propose des sensibilisations à l'accessibilité numérique pour l'enseignement axées notamment sur les outils utilisés par la communauté enseignante (ex : Moodle). Ces sensibilisations sont proposées  aux enseignants deux fois par an dans le catalogue de formation de la </w:t>
      </w:r>
      <w:proofErr w:type="spellStart"/>
      <w:r>
        <w:t>DAPI</w:t>
      </w:r>
      <w:proofErr w:type="spellEnd"/>
      <w:r>
        <w:t xml:space="preserve">. </w:t>
      </w:r>
      <w:r>
        <w:br/>
        <w:t xml:space="preserve">Depuis 2023, 90 enseignants-chercheurs ont été sensibilisés dont 43 dans le </w:t>
      </w:r>
      <w:proofErr w:type="spellStart"/>
      <w:r>
        <w:t>le</w:t>
      </w:r>
      <w:proofErr w:type="spellEnd"/>
      <w:r>
        <w:t xml:space="preserve"> cadre du projet Formation Numérique aux Enseignants (</w:t>
      </w:r>
      <w:proofErr w:type="spellStart"/>
      <w:r>
        <w:t>FNE</w:t>
      </w:r>
      <w:proofErr w:type="spellEnd"/>
      <w:r>
        <w:t xml:space="preserve">) . </w:t>
      </w:r>
    </w:p>
    <w:p w14:paraId="79CA3081" w14:textId="77777777" w:rsidR="00E85C0F" w:rsidRDefault="00C02AAC">
      <w:pPr>
        <w:numPr>
          <w:ilvl w:val="0"/>
          <w:numId w:val="15"/>
        </w:numPr>
      </w:pPr>
      <w:r>
        <w:rPr>
          <w:b/>
          <w:bCs/>
        </w:rPr>
        <w:t xml:space="preserve">Sensibilisations à l’accessibilité numérique </w:t>
      </w:r>
      <w:r>
        <w:rPr>
          <w:b/>
          <w:bCs/>
        </w:rPr>
        <w:br/>
      </w:r>
      <w:r>
        <w:t xml:space="preserve">La </w:t>
      </w:r>
      <w:proofErr w:type="spellStart"/>
      <w:r>
        <w:t>DGDNUM</w:t>
      </w:r>
      <w:proofErr w:type="spellEnd"/>
      <w:r>
        <w:t xml:space="preserve"> propose des sensibilisations à l'accessibilité numérique plus généralistes s'adressant à l’ensemble de la communauté universitaire. Elles sont organisées 3 à 4 fois par an par le référent accessibilité numérique et son adjointe. </w:t>
      </w:r>
    </w:p>
    <w:p w14:paraId="5CB3B4CE" w14:textId="77777777" w:rsidR="00E85C0F" w:rsidRDefault="00C02AAC">
      <w:pPr>
        <w:numPr>
          <w:ilvl w:val="1"/>
          <w:numId w:val="15"/>
        </w:numPr>
      </w:pPr>
      <w:r>
        <w:t xml:space="preserve">En 2024, 72 personnes ont été sensibilisées par la </w:t>
      </w:r>
      <w:proofErr w:type="spellStart"/>
      <w:r>
        <w:t>DGDNUM</w:t>
      </w:r>
      <w:proofErr w:type="spellEnd"/>
      <w:r>
        <w:t xml:space="preserve">. </w:t>
      </w:r>
    </w:p>
    <w:p w14:paraId="752C2B0F" w14:textId="77777777" w:rsidR="00E85C0F" w:rsidRDefault="00C02AAC">
      <w:pPr>
        <w:numPr>
          <w:ilvl w:val="1"/>
          <w:numId w:val="15"/>
        </w:numPr>
      </w:pPr>
      <w:r>
        <w:t xml:space="preserve">En 2023, 75 personnes,  </w:t>
      </w:r>
    </w:p>
    <w:p w14:paraId="3A7CD1B1" w14:textId="77777777" w:rsidR="00E85C0F" w:rsidRDefault="00C02AAC">
      <w:pPr>
        <w:numPr>
          <w:ilvl w:val="1"/>
          <w:numId w:val="15"/>
        </w:numPr>
      </w:pPr>
      <w:r>
        <w:t xml:space="preserve">En 2022, 2 webinaires organisés par le relais handicap avec l’appui de la </w:t>
      </w:r>
      <w:proofErr w:type="spellStart"/>
      <w:r>
        <w:t>DGDNum</w:t>
      </w:r>
      <w:proofErr w:type="spellEnd"/>
      <w:r>
        <w:t xml:space="preserve"> ont été proposés aux référents handicap des différents services et composantes de l’université.</w:t>
      </w:r>
    </w:p>
    <w:p w14:paraId="618534DC" w14:textId="77777777" w:rsidR="00E85C0F" w:rsidRDefault="00C02AAC">
      <w:pPr>
        <w:pStyle w:val="Paragraphedeliste"/>
        <w:numPr>
          <w:ilvl w:val="0"/>
          <w:numId w:val="15"/>
        </w:numPr>
      </w:pPr>
      <w:r>
        <w:rPr>
          <w:b/>
          <w:bCs/>
        </w:rPr>
        <w:t xml:space="preserve">Sensibilisations auprès du personnel </w:t>
      </w:r>
      <w:proofErr w:type="spellStart"/>
      <w:r>
        <w:rPr>
          <w:b/>
          <w:bCs/>
        </w:rPr>
        <w:t>SCD</w:t>
      </w:r>
      <w:proofErr w:type="spellEnd"/>
      <w:r>
        <w:t xml:space="preserve"> </w:t>
      </w:r>
    </w:p>
    <w:p w14:paraId="4E49D9A7" w14:textId="297843DF" w:rsidR="00E85C0F" w:rsidRDefault="00C02AAC">
      <w:pPr>
        <w:pStyle w:val="Paragraphedeliste"/>
        <w:numPr>
          <w:ilvl w:val="1"/>
          <w:numId w:val="15"/>
        </w:numPr>
      </w:pPr>
      <w:r>
        <w:t xml:space="preserve">Une session a été organisée auprès du personnel des bibliothèques animée par la </w:t>
      </w:r>
      <w:r w:rsidR="00895242">
        <w:t>référente</w:t>
      </w:r>
      <w:r>
        <w:t xml:space="preserve"> handicap du </w:t>
      </w:r>
      <w:proofErr w:type="spellStart"/>
      <w:r>
        <w:t>SCD</w:t>
      </w:r>
      <w:proofErr w:type="spellEnd"/>
    </w:p>
    <w:p w14:paraId="022FAD92" w14:textId="77777777" w:rsidR="00E85C0F" w:rsidRDefault="00C02AAC">
      <w:pPr>
        <w:pStyle w:val="Paragraphedeliste"/>
        <w:numPr>
          <w:ilvl w:val="1"/>
          <w:numId w:val="15"/>
        </w:numPr>
        <w:rPr>
          <w:b/>
          <w:bCs/>
        </w:rPr>
      </w:pPr>
      <w:r>
        <w:t>Une formation aux bonnes pratiques pour les publications sur les réseaux sociaux a également été dispensée</w:t>
      </w:r>
      <w:r>
        <w:br w:type="page"/>
      </w:r>
    </w:p>
    <w:p w14:paraId="7A225B9B" w14:textId="77777777" w:rsidR="00E85C0F" w:rsidRDefault="00C02AAC">
      <w:pPr>
        <w:pStyle w:val="Paragraphedeliste"/>
        <w:numPr>
          <w:ilvl w:val="0"/>
          <w:numId w:val="15"/>
        </w:numPr>
      </w:pPr>
      <w:r>
        <w:rPr>
          <w:b/>
          <w:bCs/>
        </w:rPr>
        <w:lastRenderedPageBreak/>
        <w:t xml:space="preserve">Développement de sites accessibles (prestations externes) </w:t>
      </w:r>
    </w:p>
    <w:p w14:paraId="1321318A" w14:textId="56A51BA6" w:rsidR="00E85C0F" w:rsidRDefault="00C02AAC">
      <w:pPr>
        <w:numPr>
          <w:ilvl w:val="1"/>
          <w:numId w:val="15"/>
        </w:numPr>
      </w:pPr>
      <w:r>
        <w:t xml:space="preserve">Quatre agents de la </w:t>
      </w:r>
      <w:proofErr w:type="spellStart"/>
      <w:r>
        <w:t>DGDNum</w:t>
      </w:r>
      <w:proofErr w:type="spellEnd"/>
      <w:r>
        <w:t xml:space="preserve"> et une personne de la direction de la communication </w:t>
      </w:r>
      <w:r w:rsidR="00895242">
        <w:t>ont suivi</w:t>
      </w:r>
      <w:r>
        <w:t xml:space="preserve"> une formation au développement de sites accessibles. (2018). Cette session de formation s’inscrivait dans le cadre de la </w:t>
      </w:r>
      <w:r w:rsidR="00895242">
        <w:t>CHUE de</w:t>
      </w:r>
      <w:r>
        <w:t xml:space="preserve"> l’Université de Lille.</w:t>
      </w:r>
    </w:p>
    <w:p w14:paraId="7B7638A5" w14:textId="77777777" w:rsidR="00E85C0F" w:rsidRDefault="00C02AAC">
      <w:pPr>
        <w:numPr>
          <w:ilvl w:val="1"/>
          <w:numId w:val="15"/>
        </w:numPr>
      </w:pPr>
      <w:r>
        <w:t xml:space="preserve">12 développeurs de la </w:t>
      </w:r>
      <w:proofErr w:type="spellStart"/>
      <w:r>
        <w:t>DGDNum</w:t>
      </w:r>
      <w:proofErr w:type="spellEnd"/>
      <w:r>
        <w:t xml:space="preserve"> ont suivi la formation au développement de sites accessibles (Octobre 2023) </w:t>
      </w:r>
    </w:p>
    <w:p w14:paraId="01681705" w14:textId="77777777" w:rsidR="00E85C0F" w:rsidRDefault="00C02AAC">
      <w:pPr>
        <w:numPr>
          <w:ilvl w:val="1"/>
          <w:numId w:val="15"/>
        </w:numPr>
        <w:spacing w:after="113"/>
      </w:pPr>
      <w:r>
        <w:t xml:space="preserve">12 développeurs de la </w:t>
      </w:r>
      <w:proofErr w:type="spellStart"/>
      <w:r>
        <w:t>DGDNum</w:t>
      </w:r>
      <w:proofErr w:type="spellEnd"/>
      <w:r>
        <w:t xml:space="preserve"> ont suivi la formation au développement d’applications mobiles accessibles (Janvier 2024) </w:t>
      </w:r>
    </w:p>
    <w:p w14:paraId="1147BEB6" w14:textId="77777777" w:rsidR="00E85C0F" w:rsidRDefault="00C02AAC">
      <w:pPr>
        <w:numPr>
          <w:ilvl w:val="0"/>
          <w:numId w:val="15"/>
        </w:numPr>
        <w:rPr>
          <w:b/>
          <w:bCs/>
        </w:rPr>
      </w:pPr>
      <w:r>
        <w:rPr>
          <w:b/>
          <w:bCs/>
        </w:rPr>
        <w:t>Concevoir du contenu éditorial accessible pour le web (prestation externe)</w:t>
      </w:r>
    </w:p>
    <w:p w14:paraId="086BFFD3" w14:textId="77777777" w:rsidR="00E85C0F" w:rsidRDefault="00C02AAC">
      <w:pPr>
        <w:numPr>
          <w:ilvl w:val="0"/>
          <w:numId w:val="16"/>
        </w:numPr>
        <w:tabs>
          <w:tab w:val="left" w:pos="0"/>
        </w:tabs>
      </w:pPr>
      <w:r>
        <w:t xml:space="preserve">10 agents de la direction de la communication et de la </w:t>
      </w:r>
      <w:proofErr w:type="spellStart"/>
      <w:r>
        <w:t>DGDNUM</w:t>
      </w:r>
      <w:proofErr w:type="spellEnd"/>
      <w:r>
        <w:t xml:space="preserve"> ont suivi une formation sur la conception de contenu éditorial accessible pour le web (2018, dans le cadre de la CHUE)</w:t>
      </w:r>
    </w:p>
    <w:p w14:paraId="3241E701" w14:textId="086A3370" w:rsidR="00E85C0F" w:rsidRDefault="00C02AAC">
      <w:pPr>
        <w:numPr>
          <w:ilvl w:val="0"/>
          <w:numId w:val="16"/>
        </w:numPr>
        <w:tabs>
          <w:tab w:val="left" w:pos="0"/>
        </w:tabs>
        <w:spacing w:after="79"/>
      </w:pPr>
      <w:r>
        <w:t xml:space="preserve">8 agents de la </w:t>
      </w:r>
      <w:proofErr w:type="spellStart"/>
      <w:r>
        <w:t>DAPI</w:t>
      </w:r>
      <w:proofErr w:type="spellEnd"/>
      <w:r>
        <w:t xml:space="preserve"> ont suivi une formation sur la conception de contenu bureautique </w:t>
      </w:r>
      <w:r w:rsidR="00895242">
        <w:t>accessible (</w:t>
      </w:r>
      <w:r>
        <w:t>avril 2023)</w:t>
      </w:r>
    </w:p>
    <w:p w14:paraId="2547ED0A" w14:textId="77777777" w:rsidR="00E85C0F" w:rsidRDefault="00C02AAC">
      <w:pPr>
        <w:numPr>
          <w:ilvl w:val="0"/>
          <w:numId w:val="15"/>
        </w:numPr>
      </w:pPr>
      <w:r>
        <w:rPr>
          <w:b/>
          <w:bCs/>
        </w:rPr>
        <w:t>Langage clair (prestation externe)</w:t>
      </w:r>
      <w:r>
        <w:rPr>
          <w:b/>
          <w:bCs/>
        </w:rPr>
        <w:br/>
      </w:r>
      <w:r>
        <w:rPr>
          <w:szCs w:val="22"/>
        </w:rPr>
        <w:t xml:space="preserve">En 2024, 10 agents de la </w:t>
      </w:r>
      <w:proofErr w:type="spellStart"/>
      <w:r>
        <w:rPr>
          <w:szCs w:val="22"/>
        </w:rPr>
        <w:t>DAPI</w:t>
      </w:r>
      <w:proofErr w:type="spellEnd"/>
      <w:r>
        <w:rPr>
          <w:szCs w:val="22"/>
        </w:rPr>
        <w:t xml:space="preserve"> ont suivi une formation au langage clair. </w:t>
      </w:r>
      <w:r>
        <w:rPr>
          <w:szCs w:val="22"/>
        </w:rPr>
        <w:br/>
        <w:t xml:space="preserve">Le </w:t>
      </w:r>
      <w:r>
        <w:rPr>
          <w:i/>
          <w:iCs/>
          <w:szCs w:val="22"/>
        </w:rPr>
        <w:t>langage clair</w:t>
      </w:r>
      <w:r>
        <w:rPr>
          <w:szCs w:val="22"/>
        </w:rPr>
        <w:t xml:space="preserve"> n'est pas du </w:t>
      </w:r>
      <w:r>
        <w:rPr>
          <w:i/>
          <w:iCs/>
          <w:szCs w:val="22"/>
        </w:rPr>
        <w:t>Facile à Lire et à Comprendre (</w:t>
      </w:r>
      <w:proofErr w:type="spellStart"/>
      <w:r>
        <w:rPr>
          <w:i/>
          <w:iCs/>
          <w:szCs w:val="22"/>
        </w:rPr>
        <w:t>FALC</w:t>
      </w:r>
      <w:proofErr w:type="spellEnd"/>
      <w:r>
        <w:rPr>
          <w:i/>
          <w:iCs/>
          <w:szCs w:val="22"/>
        </w:rPr>
        <w:t>)</w:t>
      </w:r>
      <w:r>
        <w:rPr>
          <w:szCs w:val="22"/>
        </w:rPr>
        <w:t xml:space="preserve">. Cependant, l'objectif est de clarifier les textes pour faciliter la compréhension. </w:t>
      </w:r>
    </w:p>
    <w:p w14:paraId="535D6865" w14:textId="77777777" w:rsidR="00E85C0F" w:rsidRDefault="00C02AAC">
      <w:pPr>
        <w:pStyle w:val="Titre3"/>
        <w:ind w:firstLine="0"/>
      </w:pPr>
      <w:bookmarkStart w:id="33" w:name="_Toc214462497"/>
      <w:r>
        <w:t>En 2025</w:t>
      </w:r>
      <w:bookmarkEnd w:id="33"/>
    </w:p>
    <w:p w14:paraId="417ABF06" w14:textId="77777777" w:rsidR="00E85C0F" w:rsidRDefault="00C02AAC">
      <w:pPr>
        <w:numPr>
          <w:ilvl w:val="1"/>
          <w:numId w:val="15"/>
        </w:numPr>
      </w:pPr>
      <w:r>
        <w:t>5 sessions de sensibilisation à l’accessibilité numérique auprès des personnels administratifs et techniques (15 à 20 personnes par session)</w:t>
      </w:r>
    </w:p>
    <w:p w14:paraId="1CFF208C" w14:textId="77777777" w:rsidR="00E85C0F" w:rsidRDefault="00C02AAC">
      <w:pPr>
        <w:numPr>
          <w:ilvl w:val="1"/>
          <w:numId w:val="15"/>
        </w:numPr>
      </w:pPr>
      <w:r>
        <w:t>2 sessions de sensibilisation à l’accessibilité numérique auprès des personnels des bibliothèques</w:t>
      </w:r>
    </w:p>
    <w:p w14:paraId="02906CC3" w14:textId="77777777" w:rsidR="00E85C0F" w:rsidRDefault="00C02AAC">
      <w:pPr>
        <w:numPr>
          <w:ilvl w:val="1"/>
          <w:numId w:val="15"/>
        </w:numPr>
      </w:pPr>
      <w:r>
        <w:t>2 sessions de sensibilisation à l’accessibilité numérique pour l'enseignement (15 à 20 personnes par session) (</w:t>
      </w:r>
      <w:proofErr w:type="spellStart"/>
      <w:r>
        <w:t>DAPI</w:t>
      </w:r>
      <w:proofErr w:type="spellEnd"/>
      <w:r>
        <w:t>)</w:t>
      </w:r>
    </w:p>
    <w:p w14:paraId="79A91668" w14:textId="77777777" w:rsidR="00E85C0F" w:rsidRDefault="00C02AAC">
      <w:pPr>
        <w:numPr>
          <w:ilvl w:val="1"/>
          <w:numId w:val="15"/>
        </w:numPr>
      </w:pPr>
      <w:r>
        <w:t xml:space="preserve">3 sessions « concevoir des documents </w:t>
      </w:r>
      <w:proofErr w:type="spellStart"/>
      <w:r>
        <w:t>pdf</w:t>
      </w:r>
      <w:proofErr w:type="spellEnd"/>
      <w:r>
        <w:t xml:space="preserve"> accessibles depuis </w:t>
      </w:r>
      <w:proofErr w:type="spellStart"/>
      <w:r>
        <w:t>Indesign</w:t>
      </w:r>
      <w:proofErr w:type="spellEnd"/>
      <w:r>
        <w:t> » (livrets, plaquettes de formation, affiches en ligne etc.)  (15 à 20 personnes par session)</w:t>
      </w:r>
    </w:p>
    <w:p w14:paraId="66CD7C02" w14:textId="77777777" w:rsidR="00E85C0F" w:rsidRDefault="00C02AAC">
      <w:pPr>
        <w:numPr>
          <w:ilvl w:val="1"/>
          <w:numId w:val="15"/>
        </w:numPr>
      </w:pPr>
      <w:r>
        <w:t xml:space="preserve">2 sessions à la « concevoir des documents </w:t>
      </w:r>
      <w:proofErr w:type="spellStart"/>
      <w:r>
        <w:t>pdf</w:t>
      </w:r>
      <w:proofErr w:type="spellEnd"/>
      <w:r>
        <w:t xml:space="preserve"> accessible depuis Word ou LibreOffice » (15 à 20 personnes par session)</w:t>
      </w:r>
    </w:p>
    <w:p w14:paraId="741B3C9A" w14:textId="77777777" w:rsidR="00E85C0F" w:rsidRDefault="00C02AAC">
      <w:pPr>
        <w:numPr>
          <w:ilvl w:val="1"/>
          <w:numId w:val="15"/>
        </w:numPr>
      </w:pPr>
      <w:r>
        <w:t>« Auditer l’accessibilité numérique des sites web » (prestation externe, Access42)</w:t>
      </w:r>
      <w:r>
        <w:rPr>
          <w:b/>
          <w:bCs/>
        </w:rPr>
        <w:br/>
      </w:r>
      <w:r>
        <w:t xml:space="preserve">La référente handicap du service commun de documentation va suivre cette formation (puis certification) à l’audit au RGAA des sites web. La référente handicap ne participant pas à la conception technique des sites, cela permettra </w:t>
      </w:r>
      <w:r>
        <w:rPr>
          <w:rFonts w:ascii="ma" w:hAnsi="ma"/>
        </w:rPr>
        <w:t>à l’établissement de procéder en interne aux audits des projets web.</w:t>
      </w:r>
    </w:p>
    <w:p w14:paraId="53F0E504" w14:textId="5EF80B60" w:rsidR="00E85C0F" w:rsidRDefault="00C02AAC">
      <w:pPr>
        <w:numPr>
          <w:ilvl w:val="1"/>
          <w:numId w:val="15"/>
        </w:numPr>
      </w:pPr>
      <w:r>
        <w:t xml:space="preserve">1 session à l’accessibilité numérique dans les médias avec l’apport de </w:t>
      </w:r>
      <w:r w:rsidR="007D2722">
        <w:t>l’intelligence</w:t>
      </w:r>
      <w:r>
        <w:t xml:space="preserve"> artificielle.</w:t>
      </w:r>
    </w:p>
    <w:p w14:paraId="5B8EBB12" w14:textId="77777777" w:rsidR="00E85C0F" w:rsidRDefault="00C02AAC">
      <w:pPr>
        <w:numPr>
          <w:ilvl w:val="1"/>
          <w:numId w:val="15"/>
        </w:numPr>
      </w:pPr>
      <w:r>
        <w:lastRenderedPageBreak/>
        <w:t xml:space="preserve">1 session pour créer des documents accessibles avec Powerpoint auprès du personnel du </w:t>
      </w:r>
      <w:proofErr w:type="spellStart"/>
      <w:r>
        <w:t>SCD</w:t>
      </w:r>
      <w:proofErr w:type="spellEnd"/>
    </w:p>
    <w:p w14:paraId="0DAB7B9B" w14:textId="77777777" w:rsidR="00E85C0F" w:rsidRDefault="00C02AAC">
      <w:pPr>
        <w:numPr>
          <w:ilvl w:val="1"/>
          <w:numId w:val="15"/>
        </w:numPr>
      </w:pPr>
      <w:r>
        <w:t xml:space="preserve">2 sessions pour rendre son cours </w:t>
      </w:r>
      <w:proofErr w:type="spellStart"/>
      <w:r>
        <w:t>moodle</w:t>
      </w:r>
      <w:proofErr w:type="spellEnd"/>
      <w:r>
        <w:t xml:space="preserve"> accessible</w:t>
      </w:r>
    </w:p>
    <w:p w14:paraId="06B1A987" w14:textId="77777777" w:rsidR="00E85C0F" w:rsidRDefault="00C02AAC">
      <w:pPr>
        <w:numPr>
          <w:ilvl w:val="1"/>
          <w:numId w:val="15"/>
        </w:numPr>
      </w:pPr>
      <w:r>
        <w:t>1 session de sensibilisation lors de la semaine des transitions de l’Université de Lille (mars 2025)</w:t>
      </w:r>
    </w:p>
    <w:p w14:paraId="68C146B4" w14:textId="77777777" w:rsidR="00E85C0F" w:rsidRDefault="00C02AAC">
      <w:pPr>
        <w:numPr>
          <w:ilvl w:val="1"/>
          <w:numId w:val="15"/>
        </w:numPr>
      </w:pPr>
      <w:r>
        <w:t>Rédaction et mise en ligne du SPAN v1</w:t>
      </w:r>
    </w:p>
    <w:p w14:paraId="59C25D1A" w14:textId="77777777" w:rsidR="00E85C0F" w:rsidRDefault="00C02AAC">
      <w:pPr>
        <w:pStyle w:val="Titre2"/>
        <w:ind w:firstLine="0"/>
      </w:pPr>
      <w:bookmarkStart w:id="34" w:name="_Toc214462498"/>
      <w:r>
        <w:t>Prise en compte du RGAA dans la conception de sites</w:t>
      </w:r>
      <w:bookmarkEnd w:id="34"/>
    </w:p>
    <w:p w14:paraId="107A9600" w14:textId="77777777" w:rsidR="00E85C0F" w:rsidRDefault="00C02AAC">
      <w:pPr>
        <w:numPr>
          <w:ilvl w:val="0"/>
          <w:numId w:val="15"/>
        </w:numPr>
      </w:pPr>
      <w:r>
        <w:rPr>
          <w:b/>
          <w:bCs/>
        </w:rPr>
        <w:t>En janvier 2022, la refonte du site institutionnel de l’Université de Lille</w:t>
      </w:r>
      <w:r>
        <w:t xml:space="preserve"> a été réalisée en prenant en compte le RGAA 4 pendant toutes les étapes du projet. </w:t>
      </w:r>
      <w:r>
        <w:br/>
        <w:t xml:space="preserve">Le site propose également une version sombre et une police alternative pour les personnes dyslexiques. Il a été testé par l’association étudiante </w:t>
      </w:r>
      <w:proofErr w:type="spellStart"/>
      <w:r>
        <w:t>Handifac</w:t>
      </w:r>
      <w:proofErr w:type="spellEnd"/>
      <w:r>
        <w:t xml:space="preserve">, via des </w:t>
      </w:r>
      <w:r>
        <w:rPr>
          <w:szCs w:val="22"/>
        </w:rPr>
        <w:t xml:space="preserve">scénarios d’usage. Un processus de mise en conformité a été lancé au dernier semestre 2024. Les résultats finaux d’audit ont été publiés sur le site en </w:t>
      </w:r>
      <w:r>
        <w:rPr>
          <w:b/>
          <w:bCs/>
          <w:szCs w:val="22"/>
        </w:rPr>
        <w:t>avril 2025</w:t>
      </w:r>
      <w:r>
        <w:rPr>
          <w:szCs w:val="22"/>
        </w:rPr>
        <w:t xml:space="preserve"> : </w:t>
      </w:r>
      <w:r>
        <w:rPr>
          <w:szCs w:val="22"/>
        </w:rPr>
        <w:br/>
      </w:r>
      <w:r>
        <w:rPr>
          <w:b/>
          <w:bCs/>
        </w:rPr>
        <w:t>98.65% des critères RGAA sont respectés.</w:t>
      </w:r>
      <w:r>
        <w:br/>
        <w:t>Ce résultat est le fruit d’un travail collectif mené sur plusieurs mois, par les équipes du numérique mais également de la direction de la communication.</w:t>
      </w:r>
    </w:p>
    <w:p w14:paraId="49D93286" w14:textId="6783AE3E" w:rsidR="00E85C0F" w:rsidRDefault="00C02AAC">
      <w:pPr>
        <w:numPr>
          <w:ilvl w:val="0"/>
          <w:numId w:val="15"/>
        </w:numPr>
        <w:rPr>
          <w:szCs w:val="22"/>
        </w:rPr>
      </w:pPr>
      <w:r>
        <w:rPr>
          <w:b/>
          <w:bCs/>
          <w:szCs w:val="22"/>
        </w:rPr>
        <w:t>En 2023, le nouvel Environnement Numérique de Travail (ENT)</w:t>
      </w:r>
      <w:r>
        <w:rPr>
          <w:szCs w:val="22"/>
        </w:rPr>
        <w:t xml:space="preserve"> a également été conçu en respectant RGAA 4.1. Il a été testé par l’association </w:t>
      </w:r>
      <w:proofErr w:type="spellStart"/>
      <w:r>
        <w:rPr>
          <w:szCs w:val="22"/>
        </w:rPr>
        <w:t>Handifac</w:t>
      </w:r>
      <w:proofErr w:type="spellEnd"/>
      <w:r>
        <w:rPr>
          <w:szCs w:val="22"/>
        </w:rPr>
        <w:t xml:space="preserve">, et fera l’objet d’une phase d’optimisation </w:t>
      </w:r>
      <w:r w:rsidR="007D2722">
        <w:rPr>
          <w:szCs w:val="22"/>
        </w:rPr>
        <w:t>et d’un</w:t>
      </w:r>
      <w:r>
        <w:rPr>
          <w:szCs w:val="22"/>
        </w:rPr>
        <w:t xml:space="preserve"> audit en 2025-2026.</w:t>
      </w:r>
    </w:p>
    <w:p w14:paraId="2C74252F" w14:textId="77777777" w:rsidR="00E85C0F" w:rsidRDefault="00C02AAC">
      <w:pPr>
        <w:numPr>
          <w:ilvl w:val="0"/>
          <w:numId w:val="15"/>
        </w:numPr>
      </w:pPr>
      <w:bookmarkStart w:id="35" w:name="__DdeLink__4444_735421282"/>
      <w:r>
        <w:rPr>
          <w:b/>
          <w:bCs/>
          <w:szCs w:val="22"/>
        </w:rPr>
        <w:t xml:space="preserve">Mise en conformité de la plateforme vidéo POD en Juin 2023 </w:t>
      </w:r>
      <w:r>
        <w:rPr>
          <w:szCs w:val="22"/>
        </w:rPr>
        <w:t xml:space="preserve">(financement par la Communauté d’établissements français d’enseignement supérieur pour l’innovation numérique </w:t>
      </w:r>
      <w:proofErr w:type="spellStart"/>
      <w:r>
        <w:rPr>
          <w:szCs w:val="22"/>
        </w:rPr>
        <w:t>ESUP</w:t>
      </w:r>
      <w:proofErr w:type="spellEnd"/>
      <w:r>
        <w:rPr>
          <w:szCs w:val="22"/>
        </w:rPr>
        <w:t>-Portail)</w:t>
      </w:r>
      <w:r>
        <w:rPr>
          <w:szCs w:val="22"/>
        </w:rPr>
        <w:br/>
        <w:t xml:space="preserve">La plateforme de vidéo </w:t>
      </w:r>
      <w:proofErr w:type="spellStart"/>
      <w:r>
        <w:rPr>
          <w:szCs w:val="22"/>
        </w:rPr>
        <w:t>Esup</w:t>
      </w:r>
      <w:proofErr w:type="spellEnd"/>
      <w:r>
        <w:rPr>
          <w:szCs w:val="22"/>
        </w:rPr>
        <w:t xml:space="preserve">-POD de l’université de Lille a été auditée et mise partiellement en conformité. </w:t>
      </w:r>
      <w:hyperlink r:id="rId17">
        <w:r>
          <w:rPr>
            <w:rStyle w:val="Lienhypertexte"/>
            <w:color w:val="000000"/>
            <w:szCs w:val="22"/>
          </w:rPr>
          <w:t xml:space="preserve">Le taux moyen de conformité du service en ligne s’élève à </w:t>
        </w:r>
        <w:r>
          <w:rPr>
            <w:rStyle w:val="Lienhypertexte"/>
            <w:bCs/>
            <w:color w:val="000000"/>
            <w:szCs w:val="22"/>
          </w:rPr>
          <w:t>71 %</w:t>
        </w:r>
      </w:hyperlink>
      <w:r>
        <w:rPr>
          <w:color w:val="000000"/>
          <w:szCs w:val="22"/>
        </w:rPr>
        <w:t>.</w:t>
      </w:r>
      <w:r>
        <w:rPr>
          <w:szCs w:val="22"/>
        </w:rPr>
        <w:t xml:space="preserve">  Un travail d’amélioration de son accessibilité sera entrepris en 2026 – 2027</w:t>
      </w:r>
      <w:bookmarkEnd w:id="35"/>
      <w:r>
        <w:rPr>
          <w:szCs w:val="22"/>
        </w:rPr>
        <w:t xml:space="preserve"> par l’arrivée d’un alternant qui travaillera en collaboration avec la Communauté </w:t>
      </w:r>
      <w:proofErr w:type="spellStart"/>
      <w:r>
        <w:rPr>
          <w:szCs w:val="22"/>
        </w:rPr>
        <w:t>Pod</w:t>
      </w:r>
      <w:proofErr w:type="spellEnd"/>
      <w:r>
        <w:rPr>
          <w:szCs w:val="22"/>
        </w:rPr>
        <w:t xml:space="preserve"> (voir plan d’actions)</w:t>
      </w:r>
    </w:p>
    <w:p w14:paraId="7EC34221" w14:textId="77777777" w:rsidR="00E85C0F" w:rsidRDefault="00C02AAC">
      <w:pPr>
        <w:pStyle w:val="Titre3"/>
        <w:ind w:firstLine="0"/>
        <w:rPr>
          <w:bCs w:val="0"/>
        </w:rPr>
      </w:pPr>
      <w:bookmarkStart w:id="36" w:name="_Toc214462499"/>
      <w:r>
        <w:rPr>
          <w:bCs w:val="0"/>
        </w:rPr>
        <w:t>En 2025</w:t>
      </w:r>
      <w:bookmarkEnd w:id="36"/>
    </w:p>
    <w:p w14:paraId="23CCE5D3" w14:textId="77777777" w:rsidR="00E85C0F" w:rsidRDefault="00852BAA">
      <w:pPr>
        <w:pStyle w:val="Paragraphedeliste"/>
        <w:numPr>
          <w:ilvl w:val="1"/>
          <w:numId w:val="15"/>
        </w:numPr>
      </w:pPr>
      <w:hyperlink r:id="rId18">
        <w:r w:rsidR="00C02AAC">
          <w:rPr>
            <w:rStyle w:val="Lienhypertexte"/>
          </w:rPr>
          <w:t>Mise en conformité du site institutionnel de l’université de Lille</w:t>
        </w:r>
      </w:hyperlink>
    </w:p>
    <w:p w14:paraId="0699909E" w14:textId="77777777" w:rsidR="00E85C0F" w:rsidRDefault="00C02AAC">
      <w:pPr>
        <w:pStyle w:val="Paragraphedeliste"/>
        <w:numPr>
          <w:ilvl w:val="1"/>
          <w:numId w:val="15"/>
        </w:numPr>
      </w:pPr>
      <w:r>
        <w:t>Étude de conformité des sites institutionnels des Bibliothèques Universitaires (BU) (Typo3)</w:t>
      </w:r>
    </w:p>
    <w:p w14:paraId="4C4DC362" w14:textId="77777777" w:rsidR="00E85C0F" w:rsidRDefault="00C02AAC">
      <w:pPr>
        <w:pStyle w:val="Paragraphedeliste"/>
        <w:numPr>
          <w:ilvl w:val="1"/>
          <w:numId w:val="15"/>
        </w:numPr>
      </w:pPr>
      <w:r>
        <w:t xml:space="preserve">Étude de conformité des plateformes administrées par le </w:t>
      </w:r>
      <w:proofErr w:type="spellStart"/>
      <w:r>
        <w:t>SCD</w:t>
      </w:r>
      <w:proofErr w:type="spellEnd"/>
      <w:r>
        <w:t xml:space="preserve"> (ex : </w:t>
      </w:r>
      <w:proofErr w:type="spellStart"/>
      <w:r>
        <w:t>Lillonum</w:t>
      </w:r>
      <w:proofErr w:type="spellEnd"/>
      <w:r>
        <w:t xml:space="preserve">, Pépite, </w:t>
      </w:r>
      <w:proofErr w:type="spellStart"/>
      <w:r>
        <w:t>IOKE</w:t>
      </w:r>
      <w:proofErr w:type="spellEnd"/>
      <w:r>
        <w:t xml:space="preserve"> etc.)</w:t>
      </w:r>
    </w:p>
    <w:p w14:paraId="5E4D531A" w14:textId="1B7478EA" w:rsidR="00E85C0F" w:rsidRDefault="00C02AAC">
      <w:pPr>
        <w:pStyle w:val="Paragraphedeliste"/>
        <w:numPr>
          <w:ilvl w:val="1"/>
          <w:numId w:val="15"/>
        </w:numPr>
      </w:pPr>
      <w:r>
        <w:t>Mi</w:t>
      </w:r>
      <w:r w:rsidR="00323E35">
        <w:t>s</w:t>
      </w:r>
      <w:r>
        <w:t xml:space="preserve">e en place d’un nouveau </w:t>
      </w:r>
      <w:proofErr w:type="spellStart"/>
      <w:r>
        <w:t>template</w:t>
      </w:r>
      <w:proofErr w:type="spellEnd"/>
      <w:r>
        <w:t xml:space="preserve"> pour les sites de service, respectant le RGAA (phase d’audit / audit de contrôle à programmer)</w:t>
      </w:r>
    </w:p>
    <w:p w14:paraId="5779F7BE" w14:textId="77777777" w:rsidR="00E85C0F" w:rsidRDefault="00C02AAC">
      <w:pPr>
        <w:numPr>
          <w:ilvl w:val="1"/>
          <w:numId w:val="15"/>
        </w:numPr>
      </w:pPr>
      <w:r>
        <w:lastRenderedPageBreak/>
        <w:t xml:space="preserve">Correctifs critiques et amélioration de l’application mobile </w:t>
      </w:r>
      <w:proofErr w:type="spellStart"/>
      <w:r>
        <w:t>Lilu</w:t>
      </w:r>
      <w:proofErr w:type="spellEnd"/>
      <w:r>
        <w:t xml:space="preserve"> grâce à un accompagnement des équipes par une consultante experte en accessibilité mobile.</w:t>
      </w:r>
    </w:p>
    <w:p w14:paraId="7D22120E" w14:textId="77777777" w:rsidR="00E85C0F" w:rsidRDefault="00C02AAC">
      <w:pPr>
        <w:pStyle w:val="Titre2"/>
        <w:ind w:firstLine="0"/>
      </w:pPr>
      <w:bookmarkStart w:id="37" w:name="_Toc214462500"/>
      <w:r>
        <w:t>Éléments budgétaires</w:t>
      </w:r>
      <w:bookmarkEnd w:id="37"/>
    </w:p>
    <w:p w14:paraId="1F1BA1B8" w14:textId="77777777" w:rsidR="00E85C0F" w:rsidRDefault="00C02AAC">
      <w:r>
        <w:t>Un budget de formation de 21 915 € a été alloué pour les actions réalisées en 2023 et janvier 2024.</w:t>
      </w:r>
    </w:p>
    <w:p w14:paraId="0217C26D" w14:textId="77777777" w:rsidR="00E85C0F" w:rsidRDefault="00C02AAC">
      <w:r>
        <w:t>Le budget alloué pour l’année 2024 - 2025 est de 19 980 € et est dédié à la phase d’audit du site de l’université, de l’ENT, et de l’accompagnement des équipes à l’accessibilité dans les applications mobiles.</w:t>
      </w:r>
      <w:r>
        <w:br/>
        <w:t xml:space="preserve">Pour les années à venir, la présence d’une personne en interne (la référente handicap du </w:t>
      </w:r>
      <w:proofErr w:type="spellStart"/>
      <w:r>
        <w:t>SCD</w:t>
      </w:r>
      <w:proofErr w:type="spellEnd"/>
      <w:r>
        <w:t>) formée et certifiée à l’AN permettra de réduire les coûts des audits (voir Moyens financiers).</w:t>
      </w:r>
    </w:p>
    <w:p w14:paraId="648A7403" w14:textId="77777777" w:rsidR="00E85C0F" w:rsidRDefault="00C02AAC">
      <w:pPr>
        <w:pStyle w:val="Titre1"/>
      </w:pPr>
      <w:bookmarkStart w:id="38" w:name="__RefNumPara__1782_1847535142"/>
      <w:bookmarkStart w:id="39" w:name="_Toc214462501"/>
      <w:bookmarkEnd w:id="38"/>
      <w:r>
        <w:t>Annexe 2 : Recensement des sites, applications et services</w:t>
      </w:r>
      <w:bookmarkEnd w:id="39"/>
    </w:p>
    <w:p w14:paraId="2E917B93" w14:textId="77777777" w:rsidR="00E85C0F" w:rsidRDefault="00C02AAC">
      <w:pPr>
        <w:pStyle w:val="Titre2"/>
        <w:ind w:firstLine="0"/>
      </w:pPr>
      <w:bookmarkStart w:id="40" w:name="_Toc214462502"/>
      <w:r>
        <w:t>Périmètre du service web et multimédia</w:t>
      </w:r>
      <w:bookmarkEnd w:id="40"/>
    </w:p>
    <w:p w14:paraId="1E3E70C6" w14:textId="77777777" w:rsidR="00E85C0F" w:rsidRDefault="00C02AAC">
      <w:r>
        <w:t xml:space="preserve">L’Université de Lille dispose d’un socle technique commun (usines à sites basées sur le </w:t>
      </w:r>
      <w:proofErr w:type="spellStart"/>
      <w:r>
        <w:t>CMS</w:t>
      </w:r>
      <w:proofErr w:type="spellEnd"/>
      <w:r>
        <w:t xml:space="preserve"> TYPO3) pour une très grande majorité de ses sites web. Cela permet de rationaliser leur développement et leur maintenance. Les modèles graphiques sont communs et vont s’appuyer progressivement sur notre design system en cours de développement. </w:t>
      </w:r>
    </w:p>
    <w:p w14:paraId="5C792283" w14:textId="318D7955" w:rsidR="00E85C0F" w:rsidRDefault="00C02AAC">
      <w:r>
        <w:t xml:space="preserve">Au dernier recensement (décembre 2023), nos usines à sites (TYPO3) disposaient de 400 </w:t>
      </w:r>
      <w:r w:rsidR="00323E35">
        <w:t>sites :</w:t>
      </w:r>
      <w:r>
        <w:br w:type="page"/>
      </w:r>
    </w:p>
    <w:tbl>
      <w:tblPr>
        <w:tblStyle w:val="Grilledutableau"/>
        <w:tblW w:w="9630" w:type="dxa"/>
        <w:tblLayout w:type="fixed"/>
        <w:tblLook w:val="0020" w:firstRow="1" w:lastRow="0" w:firstColumn="0" w:lastColumn="0" w:noHBand="0" w:noVBand="0"/>
      </w:tblPr>
      <w:tblGrid>
        <w:gridCol w:w="7716"/>
        <w:gridCol w:w="1914"/>
      </w:tblGrid>
      <w:tr w:rsidR="00E85C0F" w14:paraId="4F9341B3" w14:textId="77777777" w:rsidTr="003C13E6">
        <w:trPr>
          <w:trHeight w:val="673"/>
          <w:tblHeader/>
        </w:trPr>
        <w:tc>
          <w:tcPr>
            <w:tcW w:w="7716" w:type="dxa"/>
          </w:tcPr>
          <w:p w14:paraId="2FFCE7A7" w14:textId="77777777" w:rsidR="00E85C0F" w:rsidRDefault="00C02AAC">
            <w:pPr>
              <w:pStyle w:val="TableParagraph"/>
              <w:widowControl w:val="0"/>
              <w:spacing w:before="1" w:line="240" w:lineRule="auto"/>
              <w:ind w:left="19"/>
              <w:jc w:val="left"/>
              <w:rPr>
                <w:rFonts w:ascii="Marianne" w:hAnsi="Marianne"/>
                <w:b/>
                <w:bCs/>
                <w:spacing w:val="-4"/>
                <w:sz w:val="24"/>
              </w:rPr>
            </w:pPr>
            <w:r>
              <w:rPr>
                <w:rFonts w:ascii="Marianne" w:hAnsi="Marianne"/>
                <w:b/>
                <w:bCs/>
                <w:spacing w:val="-4"/>
                <w:sz w:val="24"/>
              </w:rPr>
              <w:lastRenderedPageBreak/>
              <w:t>Types de sites</w:t>
            </w:r>
          </w:p>
        </w:tc>
        <w:tc>
          <w:tcPr>
            <w:tcW w:w="1914" w:type="dxa"/>
          </w:tcPr>
          <w:p w14:paraId="144FAC57" w14:textId="77777777" w:rsidR="00E85C0F" w:rsidRDefault="00C02AAC">
            <w:pPr>
              <w:pStyle w:val="TableParagraph"/>
              <w:widowControl w:val="0"/>
              <w:spacing w:line="352" w:lineRule="exact"/>
              <w:rPr>
                <w:rFonts w:ascii="Marianne" w:hAnsi="Marianne"/>
                <w:b/>
                <w:bCs/>
                <w:spacing w:val="-5"/>
                <w:sz w:val="24"/>
              </w:rPr>
            </w:pPr>
            <w:r>
              <w:rPr>
                <w:rFonts w:ascii="Marianne" w:hAnsi="Marianne"/>
                <w:b/>
                <w:bCs/>
                <w:spacing w:val="-5"/>
                <w:sz w:val="24"/>
              </w:rPr>
              <w:t>Nombre</w:t>
            </w:r>
          </w:p>
        </w:tc>
      </w:tr>
      <w:tr w:rsidR="00E85C0F" w14:paraId="6C3CC853" w14:textId="77777777" w:rsidTr="003C13E6">
        <w:trPr>
          <w:trHeight w:val="283"/>
        </w:trPr>
        <w:tc>
          <w:tcPr>
            <w:tcW w:w="7716" w:type="dxa"/>
          </w:tcPr>
          <w:p w14:paraId="5F4C3D6D" w14:textId="77777777" w:rsidR="00E85C0F" w:rsidRDefault="00C02AAC">
            <w:pPr>
              <w:pStyle w:val="TableParagraph"/>
              <w:widowControl w:val="0"/>
              <w:ind w:left="19"/>
              <w:jc w:val="left"/>
              <w:rPr>
                <w:rFonts w:ascii="Marianne" w:hAnsi="Marianne"/>
                <w:spacing w:val="-2"/>
                <w:szCs w:val="22"/>
              </w:rPr>
            </w:pPr>
            <w:r>
              <w:rPr>
                <w:rFonts w:ascii="Marianne" w:hAnsi="Marianne"/>
                <w:spacing w:val="-2"/>
                <w:szCs w:val="22"/>
              </w:rPr>
              <w:t>Site institutionnel de l’université</w:t>
            </w:r>
          </w:p>
        </w:tc>
        <w:tc>
          <w:tcPr>
            <w:tcW w:w="1914" w:type="dxa"/>
          </w:tcPr>
          <w:p w14:paraId="0ADD70CB" w14:textId="77777777" w:rsidR="00E85C0F" w:rsidRDefault="00C02AAC">
            <w:pPr>
              <w:pStyle w:val="TableParagraph"/>
              <w:widowControl w:val="0"/>
              <w:ind w:right="10"/>
              <w:rPr>
                <w:rFonts w:ascii="Marianne" w:hAnsi="Marianne"/>
                <w:spacing w:val="-5"/>
                <w:szCs w:val="22"/>
              </w:rPr>
            </w:pPr>
            <w:r>
              <w:rPr>
                <w:rFonts w:ascii="Marianne" w:hAnsi="Marianne"/>
                <w:spacing w:val="-5"/>
                <w:szCs w:val="22"/>
              </w:rPr>
              <w:t>1</w:t>
            </w:r>
          </w:p>
        </w:tc>
      </w:tr>
      <w:tr w:rsidR="00E85C0F" w14:paraId="3DD5BCE0" w14:textId="77777777" w:rsidTr="003C13E6">
        <w:trPr>
          <w:trHeight w:val="283"/>
        </w:trPr>
        <w:tc>
          <w:tcPr>
            <w:tcW w:w="7716" w:type="dxa"/>
          </w:tcPr>
          <w:p w14:paraId="72DE1B46" w14:textId="77777777" w:rsidR="00E85C0F" w:rsidRDefault="00C02AAC">
            <w:pPr>
              <w:pStyle w:val="TableParagraph"/>
              <w:widowControl w:val="0"/>
              <w:ind w:left="19"/>
              <w:jc w:val="left"/>
              <w:rPr>
                <w:rFonts w:ascii="Marianne" w:hAnsi="Marianne"/>
                <w:spacing w:val="-2"/>
                <w:szCs w:val="22"/>
              </w:rPr>
            </w:pPr>
            <w:r>
              <w:rPr>
                <w:rFonts w:ascii="Marianne" w:hAnsi="Marianne"/>
                <w:spacing w:val="-2"/>
                <w:szCs w:val="22"/>
              </w:rPr>
              <w:t>Environnement numérique de travail (ENT)</w:t>
            </w:r>
          </w:p>
        </w:tc>
        <w:tc>
          <w:tcPr>
            <w:tcW w:w="1914" w:type="dxa"/>
          </w:tcPr>
          <w:p w14:paraId="4DC947D6" w14:textId="77777777" w:rsidR="00E85C0F" w:rsidRDefault="00C02AAC">
            <w:pPr>
              <w:pStyle w:val="TableParagraph"/>
              <w:widowControl w:val="0"/>
              <w:ind w:right="10"/>
              <w:rPr>
                <w:rFonts w:ascii="Marianne" w:hAnsi="Marianne"/>
                <w:spacing w:val="-5"/>
                <w:szCs w:val="22"/>
              </w:rPr>
            </w:pPr>
            <w:r>
              <w:rPr>
                <w:rFonts w:ascii="Marianne" w:hAnsi="Marianne"/>
                <w:spacing w:val="-5"/>
                <w:szCs w:val="22"/>
              </w:rPr>
              <w:t>1</w:t>
            </w:r>
          </w:p>
        </w:tc>
      </w:tr>
      <w:tr w:rsidR="00E85C0F" w14:paraId="0FD7858C" w14:textId="77777777" w:rsidTr="003C13E6">
        <w:trPr>
          <w:trHeight w:val="283"/>
        </w:trPr>
        <w:tc>
          <w:tcPr>
            <w:tcW w:w="7716" w:type="dxa"/>
          </w:tcPr>
          <w:p w14:paraId="4BBBB8F0" w14:textId="77777777" w:rsidR="00E85C0F" w:rsidRDefault="00C02AAC">
            <w:pPr>
              <w:pStyle w:val="TableParagraph"/>
              <w:widowControl w:val="0"/>
              <w:ind w:left="19"/>
              <w:jc w:val="left"/>
              <w:rPr>
                <w:rFonts w:ascii="Marianne" w:hAnsi="Marianne"/>
                <w:spacing w:val="-2"/>
                <w:szCs w:val="22"/>
              </w:rPr>
            </w:pPr>
            <w:r>
              <w:rPr>
                <w:rFonts w:ascii="Marianne" w:hAnsi="Marianne"/>
                <w:spacing w:val="-2"/>
                <w:szCs w:val="22"/>
              </w:rPr>
              <w:t>Événementiels</w:t>
            </w:r>
          </w:p>
        </w:tc>
        <w:tc>
          <w:tcPr>
            <w:tcW w:w="1914" w:type="dxa"/>
          </w:tcPr>
          <w:p w14:paraId="7BB2A7AD" w14:textId="77777777" w:rsidR="00E85C0F" w:rsidRDefault="00C02AAC">
            <w:pPr>
              <w:pStyle w:val="TableParagraph"/>
              <w:widowControl w:val="0"/>
              <w:ind w:right="10"/>
              <w:rPr>
                <w:rFonts w:ascii="Marianne" w:hAnsi="Marianne"/>
                <w:spacing w:val="-5"/>
                <w:szCs w:val="22"/>
              </w:rPr>
            </w:pPr>
            <w:r>
              <w:rPr>
                <w:rFonts w:ascii="Marianne" w:hAnsi="Marianne"/>
                <w:spacing w:val="-5"/>
                <w:szCs w:val="22"/>
              </w:rPr>
              <w:t>62</w:t>
            </w:r>
          </w:p>
        </w:tc>
      </w:tr>
      <w:tr w:rsidR="00E85C0F" w14:paraId="5442F9C5" w14:textId="77777777" w:rsidTr="003C13E6">
        <w:trPr>
          <w:trHeight w:val="282"/>
        </w:trPr>
        <w:tc>
          <w:tcPr>
            <w:tcW w:w="7716" w:type="dxa"/>
          </w:tcPr>
          <w:p w14:paraId="5A2AFC56" w14:textId="77777777" w:rsidR="00E85C0F" w:rsidRDefault="00C02AAC">
            <w:pPr>
              <w:pStyle w:val="TableParagraph"/>
              <w:widowControl w:val="0"/>
              <w:ind w:left="19"/>
              <w:jc w:val="left"/>
              <w:rPr>
                <w:rFonts w:ascii="Marianne" w:hAnsi="Marianne"/>
                <w:spacing w:val="-2"/>
                <w:szCs w:val="22"/>
              </w:rPr>
            </w:pPr>
            <w:r>
              <w:rPr>
                <w:rFonts w:ascii="Marianne" w:hAnsi="Marianne"/>
                <w:spacing w:val="-2"/>
                <w:szCs w:val="22"/>
              </w:rPr>
              <w:t>Divers</w:t>
            </w:r>
          </w:p>
        </w:tc>
        <w:tc>
          <w:tcPr>
            <w:tcW w:w="1914" w:type="dxa"/>
          </w:tcPr>
          <w:p w14:paraId="3E1F5D16" w14:textId="77777777" w:rsidR="00E85C0F" w:rsidRDefault="00C02AAC">
            <w:pPr>
              <w:pStyle w:val="TableParagraph"/>
              <w:widowControl w:val="0"/>
              <w:ind w:right="10"/>
              <w:rPr>
                <w:rFonts w:ascii="Marianne" w:hAnsi="Marianne"/>
                <w:spacing w:val="-5"/>
                <w:szCs w:val="22"/>
              </w:rPr>
            </w:pPr>
            <w:r>
              <w:rPr>
                <w:rFonts w:ascii="Marianne" w:hAnsi="Marianne"/>
                <w:spacing w:val="-5"/>
                <w:szCs w:val="22"/>
              </w:rPr>
              <w:t>45</w:t>
            </w:r>
          </w:p>
        </w:tc>
      </w:tr>
      <w:tr w:rsidR="00E85C0F" w14:paraId="7D270B5C" w14:textId="77777777" w:rsidTr="003C13E6">
        <w:trPr>
          <w:trHeight w:val="283"/>
        </w:trPr>
        <w:tc>
          <w:tcPr>
            <w:tcW w:w="7716" w:type="dxa"/>
          </w:tcPr>
          <w:p w14:paraId="2874E02C" w14:textId="77777777" w:rsidR="00E85C0F" w:rsidRDefault="00C02AAC">
            <w:pPr>
              <w:pStyle w:val="TableParagraph"/>
              <w:widowControl w:val="0"/>
              <w:spacing w:line="262" w:lineRule="exact"/>
              <w:ind w:left="19"/>
              <w:jc w:val="left"/>
              <w:rPr>
                <w:rFonts w:ascii="Marianne" w:hAnsi="Marianne"/>
                <w:szCs w:val="22"/>
              </w:rPr>
            </w:pPr>
            <w:r>
              <w:rPr>
                <w:rFonts w:ascii="Marianne" w:hAnsi="Marianne"/>
                <w:szCs w:val="22"/>
              </w:rPr>
              <w:t>Écoles</w:t>
            </w:r>
            <w:r>
              <w:rPr>
                <w:rFonts w:ascii="Marianne" w:hAnsi="Marianne"/>
                <w:spacing w:val="-4"/>
                <w:szCs w:val="22"/>
              </w:rPr>
              <w:t xml:space="preserve"> </w:t>
            </w:r>
            <w:r>
              <w:rPr>
                <w:rFonts w:ascii="Marianne" w:hAnsi="Marianne"/>
                <w:spacing w:val="-2"/>
                <w:szCs w:val="22"/>
              </w:rPr>
              <w:t>doctorales</w:t>
            </w:r>
          </w:p>
        </w:tc>
        <w:tc>
          <w:tcPr>
            <w:tcW w:w="1914" w:type="dxa"/>
          </w:tcPr>
          <w:p w14:paraId="26C8B727" w14:textId="77777777" w:rsidR="00E85C0F" w:rsidRDefault="00C02AAC">
            <w:pPr>
              <w:pStyle w:val="TableParagraph"/>
              <w:widowControl w:val="0"/>
              <w:spacing w:line="262" w:lineRule="exact"/>
              <w:ind w:right="10"/>
              <w:rPr>
                <w:rFonts w:ascii="Marianne" w:hAnsi="Marianne"/>
                <w:spacing w:val="-5"/>
                <w:szCs w:val="22"/>
              </w:rPr>
            </w:pPr>
            <w:r>
              <w:rPr>
                <w:rFonts w:ascii="Marianne" w:hAnsi="Marianne"/>
                <w:spacing w:val="-5"/>
                <w:szCs w:val="22"/>
              </w:rPr>
              <w:t>11</w:t>
            </w:r>
          </w:p>
        </w:tc>
      </w:tr>
      <w:tr w:rsidR="00E85C0F" w14:paraId="4AEAE178" w14:textId="77777777" w:rsidTr="003C13E6">
        <w:trPr>
          <w:trHeight w:val="283"/>
        </w:trPr>
        <w:tc>
          <w:tcPr>
            <w:tcW w:w="7716" w:type="dxa"/>
          </w:tcPr>
          <w:p w14:paraId="5DEBD177" w14:textId="77777777" w:rsidR="00E85C0F" w:rsidRDefault="00C02AAC">
            <w:pPr>
              <w:pStyle w:val="TableParagraph"/>
              <w:widowControl w:val="0"/>
              <w:spacing w:line="262" w:lineRule="exact"/>
              <w:ind w:left="19"/>
              <w:jc w:val="left"/>
              <w:rPr>
                <w:rFonts w:ascii="Marianne" w:hAnsi="Marianne"/>
                <w:spacing w:val="-2"/>
                <w:szCs w:val="22"/>
              </w:rPr>
            </w:pPr>
            <w:r>
              <w:rPr>
                <w:rFonts w:ascii="Marianne" w:hAnsi="Marianne"/>
                <w:spacing w:val="-2"/>
                <w:szCs w:val="22"/>
              </w:rPr>
              <w:t>Formations</w:t>
            </w:r>
          </w:p>
        </w:tc>
        <w:tc>
          <w:tcPr>
            <w:tcW w:w="1914" w:type="dxa"/>
          </w:tcPr>
          <w:p w14:paraId="3ACFA49D" w14:textId="77777777" w:rsidR="00E85C0F" w:rsidRDefault="00C02AAC">
            <w:pPr>
              <w:pStyle w:val="TableParagraph"/>
              <w:widowControl w:val="0"/>
              <w:spacing w:line="262" w:lineRule="exact"/>
              <w:ind w:right="10"/>
              <w:rPr>
                <w:rFonts w:ascii="Marianne" w:hAnsi="Marianne"/>
                <w:spacing w:val="-5"/>
                <w:szCs w:val="22"/>
              </w:rPr>
            </w:pPr>
            <w:r>
              <w:rPr>
                <w:rFonts w:ascii="Marianne" w:hAnsi="Marianne"/>
                <w:spacing w:val="-5"/>
                <w:szCs w:val="22"/>
              </w:rPr>
              <w:t>67</w:t>
            </w:r>
          </w:p>
        </w:tc>
      </w:tr>
      <w:tr w:rsidR="00E85C0F" w14:paraId="5A7DDF75" w14:textId="77777777" w:rsidTr="003C13E6">
        <w:trPr>
          <w:trHeight w:val="282"/>
        </w:trPr>
        <w:tc>
          <w:tcPr>
            <w:tcW w:w="7716" w:type="dxa"/>
          </w:tcPr>
          <w:p w14:paraId="2FD8888B" w14:textId="77777777" w:rsidR="00E85C0F" w:rsidRDefault="00C02AAC">
            <w:pPr>
              <w:pStyle w:val="TableParagraph"/>
              <w:widowControl w:val="0"/>
              <w:spacing w:line="262" w:lineRule="exact"/>
              <w:ind w:left="19"/>
              <w:jc w:val="left"/>
              <w:rPr>
                <w:rFonts w:ascii="Marianne" w:hAnsi="Marianne"/>
                <w:spacing w:val="-2"/>
                <w:szCs w:val="22"/>
              </w:rPr>
            </w:pPr>
            <w:r>
              <w:rPr>
                <w:rFonts w:ascii="Marianne" w:hAnsi="Marianne"/>
                <w:spacing w:val="-2"/>
                <w:szCs w:val="22"/>
              </w:rPr>
              <w:t>Composantes / facultés</w:t>
            </w:r>
          </w:p>
        </w:tc>
        <w:tc>
          <w:tcPr>
            <w:tcW w:w="1914" w:type="dxa"/>
          </w:tcPr>
          <w:p w14:paraId="20FB0F12" w14:textId="77777777" w:rsidR="00E85C0F" w:rsidRDefault="00C02AAC">
            <w:pPr>
              <w:pStyle w:val="TableParagraph"/>
              <w:widowControl w:val="0"/>
              <w:spacing w:line="262" w:lineRule="exact"/>
              <w:ind w:right="10"/>
              <w:rPr>
                <w:rFonts w:ascii="Marianne" w:hAnsi="Marianne"/>
                <w:spacing w:val="-5"/>
                <w:szCs w:val="22"/>
              </w:rPr>
            </w:pPr>
            <w:r>
              <w:rPr>
                <w:rFonts w:ascii="Marianne" w:hAnsi="Marianne"/>
                <w:spacing w:val="-5"/>
                <w:szCs w:val="22"/>
              </w:rPr>
              <w:t>16</w:t>
            </w:r>
          </w:p>
        </w:tc>
      </w:tr>
      <w:tr w:rsidR="00E85C0F" w14:paraId="161C8A1E" w14:textId="77777777" w:rsidTr="003C13E6">
        <w:trPr>
          <w:trHeight w:val="284"/>
        </w:trPr>
        <w:tc>
          <w:tcPr>
            <w:tcW w:w="7716" w:type="dxa"/>
          </w:tcPr>
          <w:p w14:paraId="29F27501" w14:textId="77777777" w:rsidR="00E85C0F" w:rsidRDefault="00C02AAC">
            <w:pPr>
              <w:pStyle w:val="TableParagraph"/>
              <w:widowControl w:val="0"/>
              <w:spacing w:line="263" w:lineRule="exact"/>
              <w:ind w:left="19"/>
              <w:jc w:val="left"/>
              <w:rPr>
                <w:rFonts w:ascii="Marianne" w:hAnsi="Marianne"/>
                <w:spacing w:val="-2"/>
                <w:szCs w:val="22"/>
              </w:rPr>
            </w:pPr>
            <w:r>
              <w:rPr>
                <w:rFonts w:ascii="Marianne" w:hAnsi="Marianne"/>
                <w:spacing w:val="-2"/>
                <w:szCs w:val="22"/>
              </w:rPr>
              <w:t>Instituts/Plateformes/Bibliothèque</w:t>
            </w:r>
          </w:p>
        </w:tc>
        <w:tc>
          <w:tcPr>
            <w:tcW w:w="1914" w:type="dxa"/>
          </w:tcPr>
          <w:p w14:paraId="557F779C" w14:textId="77777777" w:rsidR="00E85C0F" w:rsidRDefault="00C02AAC">
            <w:pPr>
              <w:pStyle w:val="TableParagraph"/>
              <w:widowControl w:val="0"/>
              <w:spacing w:line="263" w:lineRule="exact"/>
              <w:ind w:right="10"/>
              <w:rPr>
                <w:rFonts w:ascii="Marianne" w:hAnsi="Marianne"/>
                <w:spacing w:val="-5"/>
                <w:szCs w:val="22"/>
              </w:rPr>
            </w:pPr>
            <w:r>
              <w:rPr>
                <w:rFonts w:ascii="Marianne" w:hAnsi="Marianne"/>
                <w:spacing w:val="-5"/>
                <w:szCs w:val="22"/>
              </w:rPr>
              <w:t>37</w:t>
            </w:r>
          </w:p>
        </w:tc>
      </w:tr>
      <w:tr w:rsidR="00E85C0F" w14:paraId="0A7D06EC" w14:textId="77777777" w:rsidTr="003C13E6">
        <w:trPr>
          <w:trHeight w:val="283"/>
        </w:trPr>
        <w:tc>
          <w:tcPr>
            <w:tcW w:w="7716" w:type="dxa"/>
          </w:tcPr>
          <w:p w14:paraId="5FEB70B2" w14:textId="77777777" w:rsidR="00E85C0F" w:rsidRDefault="00C02AAC">
            <w:pPr>
              <w:pStyle w:val="TableParagraph"/>
              <w:widowControl w:val="0"/>
              <w:ind w:left="19"/>
              <w:jc w:val="left"/>
              <w:rPr>
                <w:rFonts w:ascii="Marianne" w:hAnsi="Marianne"/>
                <w:szCs w:val="22"/>
              </w:rPr>
            </w:pPr>
            <w:r>
              <w:rPr>
                <w:rFonts w:ascii="Marianne" w:hAnsi="Marianne"/>
                <w:szCs w:val="22"/>
              </w:rPr>
              <w:t>Laboratoires de recherche</w:t>
            </w:r>
          </w:p>
        </w:tc>
        <w:tc>
          <w:tcPr>
            <w:tcW w:w="1914" w:type="dxa"/>
          </w:tcPr>
          <w:p w14:paraId="664F47A9" w14:textId="77777777" w:rsidR="00E85C0F" w:rsidRDefault="00C02AAC">
            <w:pPr>
              <w:pStyle w:val="TableParagraph"/>
              <w:widowControl w:val="0"/>
              <w:ind w:right="10"/>
              <w:rPr>
                <w:rFonts w:ascii="Marianne" w:hAnsi="Marianne"/>
                <w:szCs w:val="22"/>
              </w:rPr>
            </w:pPr>
            <w:r>
              <w:rPr>
                <w:rFonts w:ascii="Marianne" w:hAnsi="Marianne"/>
                <w:szCs w:val="22"/>
              </w:rPr>
              <w:t>53</w:t>
            </w:r>
          </w:p>
        </w:tc>
      </w:tr>
      <w:tr w:rsidR="00E85C0F" w14:paraId="1C6E5C97" w14:textId="77777777" w:rsidTr="003C13E6">
        <w:trPr>
          <w:trHeight w:val="283"/>
        </w:trPr>
        <w:tc>
          <w:tcPr>
            <w:tcW w:w="7716" w:type="dxa"/>
          </w:tcPr>
          <w:p w14:paraId="797F4E1E" w14:textId="77777777" w:rsidR="00E85C0F" w:rsidRDefault="00C02AAC">
            <w:pPr>
              <w:pStyle w:val="paragraphedanstableau"/>
            </w:pPr>
            <w:r>
              <w:t>Plateforme Pages Pro des enseignants chercheurs, doctorants, et des personnels administratifs et techniques (TYPO3)</w:t>
            </w:r>
          </w:p>
        </w:tc>
        <w:tc>
          <w:tcPr>
            <w:tcW w:w="1914" w:type="dxa"/>
          </w:tcPr>
          <w:p w14:paraId="23E4D28E" w14:textId="77777777" w:rsidR="00E85C0F" w:rsidRDefault="00C02AAC">
            <w:pPr>
              <w:pStyle w:val="TableParagraph"/>
              <w:widowControl w:val="0"/>
              <w:ind w:right="10"/>
              <w:rPr>
                <w:rFonts w:ascii="Marianne" w:hAnsi="Marianne"/>
                <w:spacing w:val="-5"/>
                <w:szCs w:val="22"/>
              </w:rPr>
            </w:pPr>
            <w:r>
              <w:rPr>
                <w:rFonts w:ascii="Marianne" w:hAnsi="Marianne"/>
                <w:spacing w:val="-5"/>
                <w:szCs w:val="22"/>
              </w:rPr>
              <w:t>1</w:t>
            </w:r>
          </w:p>
        </w:tc>
      </w:tr>
      <w:tr w:rsidR="00E85C0F" w14:paraId="42137495" w14:textId="77777777" w:rsidTr="003C13E6">
        <w:trPr>
          <w:trHeight w:val="283"/>
        </w:trPr>
        <w:tc>
          <w:tcPr>
            <w:tcW w:w="7716" w:type="dxa"/>
          </w:tcPr>
          <w:p w14:paraId="50E2DFE0" w14:textId="77777777" w:rsidR="00E85C0F" w:rsidRDefault="00C02AAC">
            <w:pPr>
              <w:pStyle w:val="TableParagraph"/>
              <w:widowControl w:val="0"/>
              <w:ind w:left="19"/>
              <w:jc w:val="left"/>
              <w:rPr>
                <w:rFonts w:ascii="Marianne" w:hAnsi="Marianne"/>
                <w:szCs w:val="22"/>
              </w:rPr>
            </w:pPr>
            <w:r>
              <w:rPr>
                <w:rFonts w:ascii="Marianne" w:hAnsi="Marianne"/>
                <w:szCs w:val="22"/>
              </w:rPr>
              <w:t>Projets/Réseaux</w:t>
            </w:r>
            <w:r>
              <w:rPr>
                <w:rFonts w:ascii="Marianne" w:hAnsi="Marianne"/>
                <w:spacing w:val="-7"/>
                <w:szCs w:val="22"/>
              </w:rPr>
              <w:t xml:space="preserve"> </w:t>
            </w:r>
            <w:r>
              <w:rPr>
                <w:rFonts w:ascii="Marianne" w:hAnsi="Marianne"/>
                <w:szCs w:val="22"/>
              </w:rPr>
              <w:t>de</w:t>
            </w:r>
            <w:r>
              <w:rPr>
                <w:rFonts w:ascii="Marianne" w:hAnsi="Marianne"/>
                <w:spacing w:val="-6"/>
                <w:szCs w:val="22"/>
              </w:rPr>
              <w:t xml:space="preserve"> </w:t>
            </w:r>
            <w:r>
              <w:rPr>
                <w:rFonts w:ascii="Marianne" w:hAnsi="Marianne"/>
                <w:spacing w:val="-2"/>
                <w:szCs w:val="22"/>
              </w:rPr>
              <w:t>recherche</w:t>
            </w:r>
          </w:p>
        </w:tc>
        <w:tc>
          <w:tcPr>
            <w:tcW w:w="1914" w:type="dxa"/>
          </w:tcPr>
          <w:p w14:paraId="2AB3781B" w14:textId="77777777" w:rsidR="00E85C0F" w:rsidRDefault="00C02AAC">
            <w:pPr>
              <w:pStyle w:val="TableParagraph"/>
              <w:widowControl w:val="0"/>
              <w:ind w:right="10"/>
              <w:rPr>
                <w:rFonts w:ascii="Marianne" w:hAnsi="Marianne"/>
                <w:spacing w:val="-5"/>
                <w:szCs w:val="22"/>
              </w:rPr>
            </w:pPr>
            <w:r>
              <w:rPr>
                <w:rFonts w:ascii="Marianne" w:hAnsi="Marianne"/>
                <w:spacing w:val="-5"/>
                <w:szCs w:val="22"/>
              </w:rPr>
              <w:t>105</w:t>
            </w:r>
          </w:p>
        </w:tc>
      </w:tr>
      <w:tr w:rsidR="00E85C0F" w14:paraId="2378774F" w14:textId="77777777" w:rsidTr="003C13E6">
        <w:trPr>
          <w:trHeight w:val="283"/>
        </w:trPr>
        <w:tc>
          <w:tcPr>
            <w:tcW w:w="7716" w:type="dxa"/>
          </w:tcPr>
          <w:p w14:paraId="7F6C4A9F" w14:textId="77777777" w:rsidR="00E85C0F" w:rsidRDefault="00C02AAC">
            <w:pPr>
              <w:pStyle w:val="TableParagraph"/>
              <w:widowControl w:val="0"/>
              <w:ind w:left="19"/>
              <w:jc w:val="left"/>
              <w:rPr>
                <w:rFonts w:ascii="Marianne" w:hAnsi="Marianne"/>
                <w:spacing w:val="-5"/>
                <w:szCs w:val="22"/>
              </w:rPr>
            </w:pPr>
            <w:r>
              <w:rPr>
                <w:rFonts w:ascii="Marianne" w:hAnsi="Marianne"/>
                <w:spacing w:val="-5"/>
                <w:szCs w:val="22"/>
              </w:rPr>
              <w:t>Externe</w:t>
            </w:r>
          </w:p>
        </w:tc>
        <w:tc>
          <w:tcPr>
            <w:tcW w:w="1914" w:type="dxa"/>
          </w:tcPr>
          <w:p w14:paraId="7877B570" w14:textId="77777777" w:rsidR="00E85C0F" w:rsidRDefault="00C02AAC">
            <w:pPr>
              <w:pStyle w:val="TableParagraph"/>
              <w:widowControl w:val="0"/>
              <w:ind w:right="9"/>
              <w:rPr>
                <w:rFonts w:ascii="Marianne" w:hAnsi="Marianne"/>
                <w:spacing w:val="-10"/>
                <w:szCs w:val="22"/>
              </w:rPr>
            </w:pPr>
            <w:r>
              <w:rPr>
                <w:rFonts w:ascii="Marianne" w:hAnsi="Marianne"/>
                <w:spacing w:val="-10"/>
                <w:szCs w:val="22"/>
              </w:rPr>
              <w:t>1</w:t>
            </w:r>
          </w:p>
        </w:tc>
      </w:tr>
      <w:tr w:rsidR="00E85C0F" w14:paraId="4686C4A8" w14:textId="77777777" w:rsidTr="003C13E6">
        <w:trPr>
          <w:trHeight w:val="282"/>
        </w:trPr>
        <w:tc>
          <w:tcPr>
            <w:tcW w:w="7716" w:type="dxa"/>
          </w:tcPr>
          <w:p w14:paraId="5F85E1A5" w14:textId="77777777" w:rsidR="00E85C0F" w:rsidRDefault="00C02AAC">
            <w:pPr>
              <w:pStyle w:val="TableParagraph"/>
              <w:widowControl w:val="0"/>
              <w:ind w:left="19"/>
              <w:jc w:val="left"/>
              <w:rPr>
                <w:rFonts w:ascii="Marianne" w:hAnsi="Marianne"/>
                <w:spacing w:val="-2"/>
                <w:szCs w:val="22"/>
              </w:rPr>
            </w:pPr>
            <w:r>
              <w:rPr>
                <w:rFonts w:ascii="Marianne" w:hAnsi="Marianne"/>
                <w:spacing w:val="-2"/>
                <w:szCs w:val="22"/>
              </w:rPr>
              <w:t xml:space="preserve">Total </w:t>
            </w:r>
          </w:p>
        </w:tc>
        <w:tc>
          <w:tcPr>
            <w:tcW w:w="1914" w:type="dxa"/>
          </w:tcPr>
          <w:p w14:paraId="2E2E6FE1" w14:textId="77777777" w:rsidR="00E85C0F" w:rsidRDefault="00C02AAC">
            <w:pPr>
              <w:pStyle w:val="TableParagraph"/>
              <w:widowControl w:val="0"/>
              <w:ind w:right="9"/>
              <w:rPr>
                <w:rFonts w:ascii="Marianne" w:hAnsi="Marianne"/>
                <w:b/>
                <w:bCs/>
                <w:spacing w:val="-5"/>
                <w:szCs w:val="22"/>
              </w:rPr>
            </w:pPr>
            <w:r>
              <w:rPr>
                <w:rFonts w:ascii="Marianne" w:hAnsi="Marianne"/>
                <w:b/>
                <w:bCs/>
                <w:spacing w:val="-5"/>
                <w:szCs w:val="22"/>
              </w:rPr>
              <w:t>400</w:t>
            </w:r>
          </w:p>
        </w:tc>
      </w:tr>
    </w:tbl>
    <w:p w14:paraId="3B334A88" w14:textId="77777777" w:rsidR="00E85C0F" w:rsidRDefault="00C02AAC">
      <w:pPr>
        <w:pStyle w:val="Titre2"/>
        <w:ind w:firstLine="0"/>
      </w:pPr>
      <w:bookmarkStart w:id="41" w:name="_Toc214462503"/>
      <w:r>
        <w:t>Autres sites web, applications</w:t>
      </w:r>
      <w:bookmarkEnd w:id="41"/>
      <w:r>
        <w:t xml:space="preserve"> </w:t>
      </w:r>
    </w:p>
    <w:p w14:paraId="7261DC1C" w14:textId="77777777" w:rsidR="00E85C0F" w:rsidRDefault="00C02AAC">
      <w:pPr>
        <w:pStyle w:val="Paragraphedeliste"/>
        <w:numPr>
          <w:ilvl w:val="0"/>
          <w:numId w:val="17"/>
        </w:numPr>
      </w:pPr>
      <w:r>
        <w:t xml:space="preserve">Application mobile </w:t>
      </w:r>
      <w:proofErr w:type="spellStart"/>
      <w:r>
        <w:t>Lilu</w:t>
      </w:r>
      <w:proofErr w:type="spellEnd"/>
      <w:r>
        <w:t xml:space="preserve"> (périmètre du Bureau Développement Application Numérique de la </w:t>
      </w:r>
      <w:proofErr w:type="spellStart"/>
      <w:r>
        <w:t>DGDNum</w:t>
      </w:r>
      <w:proofErr w:type="spellEnd"/>
      <w:r>
        <w:t>)</w:t>
      </w:r>
    </w:p>
    <w:p w14:paraId="2F461456" w14:textId="77777777" w:rsidR="00E85C0F" w:rsidRDefault="00C02AAC">
      <w:pPr>
        <w:pStyle w:val="Paragraphedeliste"/>
        <w:numPr>
          <w:ilvl w:val="0"/>
          <w:numId w:val="17"/>
        </w:numPr>
      </w:pPr>
      <w:r>
        <w:t xml:space="preserve">10 instances de la plateforme pédagogique Moodle 4.1 </w:t>
      </w:r>
    </w:p>
    <w:p w14:paraId="2E86EBF4" w14:textId="77777777" w:rsidR="00E85C0F" w:rsidRDefault="00C02AAC">
      <w:pPr>
        <w:pStyle w:val="Paragraphedeliste"/>
        <w:numPr>
          <w:ilvl w:val="0"/>
          <w:numId w:val="17"/>
        </w:numPr>
      </w:pPr>
      <w:r>
        <w:t>Plateforme vidéo POD (</w:t>
      </w:r>
      <w:proofErr w:type="spellStart"/>
      <w:r>
        <w:t>esup</w:t>
      </w:r>
      <w:proofErr w:type="spellEnd"/>
      <w:r>
        <w:t xml:space="preserve">) </w:t>
      </w:r>
    </w:p>
    <w:p w14:paraId="0916B8C6" w14:textId="77777777" w:rsidR="00E85C0F" w:rsidRDefault="00C02AAC">
      <w:pPr>
        <w:pStyle w:val="Paragraphedeliste"/>
        <w:numPr>
          <w:ilvl w:val="0"/>
          <w:numId w:val="17"/>
        </w:numPr>
      </w:pPr>
      <w:r>
        <w:t xml:space="preserve">Application de gestion des newsletters </w:t>
      </w:r>
    </w:p>
    <w:p w14:paraId="47BB4232" w14:textId="77777777" w:rsidR="00E85C0F" w:rsidRDefault="00C02AAC">
      <w:pPr>
        <w:pStyle w:val="Paragraphedeliste"/>
        <w:numPr>
          <w:ilvl w:val="0"/>
          <w:numId w:val="17"/>
        </w:numPr>
      </w:pPr>
      <w:r>
        <w:t xml:space="preserve">Plateformes de questionnaires et sondages </w:t>
      </w:r>
      <w:proofErr w:type="spellStart"/>
      <w:r>
        <w:t>LimeSurvey</w:t>
      </w:r>
      <w:proofErr w:type="spellEnd"/>
      <w:r>
        <w:t xml:space="preserve"> </w:t>
      </w:r>
    </w:p>
    <w:p w14:paraId="75E74FD4" w14:textId="77777777" w:rsidR="00E85C0F" w:rsidRDefault="00C02AAC">
      <w:pPr>
        <w:pStyle w:val="Paragraphedeliste"/>
        <w:numPr>
          <w:ilvl w:val="0"/>
          <w:numId w:val="17"/>
        </w:numPr>
      </w:pPr>
      <w:r>
        <w:t xml:space="preserve">Plateformes administrées par le </w:t>
      </w:r>
      <w:proofErr w:type="spellStart"/>
      <w:r>
        <w:t>SCD</w:t>
      </w:r>
      <w:proofErr w:type="spellEnd"/>
      <w:r>
        <w:t xml:space="preserve"> (</w:t>
      </w:r>
      <w:proofErr w:type="spellStart"/>
      <w:r>
        <w:t>IOKE</w:t>
      </w:r>
      <w:proofErr w:type="spellEnd"/>
      <w:r>
        <w:t xml:space="preserve">, </w:t>
      </w:r>
      <w:proofErr w:type="spellStart"/>
      <w:r>
        <w:t>PEPITE</w:t>
      </w:r>
      <w:proofErr w:type="spellEnd"/>
      <w:r>
        <w:t xml:space="preserve">, </w:t>
      </w:r>
      <w:proofErr w:type="spellStart"/>
      <w:r>
        <w:t>peren</w:t>
      </w:r>
      <w:proofErr w:type="spellEnd"/>
      <w:r>
        <w:t xml:space="preserve">, </w:t>
      </w:r>
      <w:proofErr w:type="spellStart"/>
      <w:r>
        <w:t>Lilloa</w:t>
      </w:r>
      <w:proofErr w:type="spellEnd"/>
      <w:r>
        <w:t xml:space="preserve">, </w:t>
      </w:r>
      <w:proofErr w:type="spellStart"/>
      <w:r>
        <w:t>Lillonum</w:t>
      </w:r>
      <w:proofErr w:type="spellEnd"/>
      <w:r>
        <w:t>..)</w:t>
      </w:r>
    </w:p>
    <w:p w14:paraId="45EE65C9" w14:textId="77777777" w:rsidR="00E85C0F" w:rsidRDefault="00C02AAC">
      <w:pPr>
        <w:pStyle w:val="Paragraphedeliste"/>
        <w:numPr>
          <w:ilvl w:val="0"/>
          <w:numId w:val="17"/>
        </w:numPr>
      </w:pPr>
      <w:r>
        <w:t xml:space="preserve">Plateforme d’assistance et de </w:t>
      </w:r>
      <w:proofErr w:type="spellStart"/>
      <w:r>
        <w:t>ticketing</w:t>
      </w:r>
      <w:proofErr w:type="spellEnd"/>
      <w:r>
        <w:t xml:space="preserve"> </w:t>
      </w:r>
      <w:proofErr w:type="spellStart"/>
      <w:r>
        <w:t>GLPI</w:t>
      </w:r>
      <w:proofErr w:type="spellEnd"/>
    </w:p>
    <w:p w14:paraId="1EF3679D" w14:textId="77777777" w:rsidR="00E85C0F" w:rsidRDefault="00C02AAC">
      <w:r>
        <w:t>L’Université met également à disposition des espaces d’hébergement de type « docker » ou « Machine virtuelle » sur lesquels la visibilité du code html et contenus rédactionnels est limitée pour le service web et multimédia. La mise en conformité des sites web et applications hébergés sur ces espaces rentrera dans le plan d’actions d’un schéma pluriannuel ultérieur.</w:t>
      </w:r>
      <w:r>
        <w:br/>
        <w:t xml:space="preserve">En attendant, le </w:t>
      </w:r>
      <w:proofErr w:type="spellStart"/>
      <w:r>
        <w:t>DAWAM</w:t>
      </w:r>
      <w:proofErr w:type="spellEnd"/>
      <w:r>
        <w:t xml:space="preserve"> ajoutera une déclaration sur l’honneur « respect des bonnes pratiques d’accessibilité » pour toute nouvelle demande pour ce type d’hébergement.</w:t>
      </w:r>
    </w:p>
    <w:p w14:paraId="7ADAACB3" w14:textId="77777777" w:rsidR="00E85C0F" w:rsidRDefault="00C02AAC">
      <w:pPr>
        <w:pStyle w:val="Titre3"/>
        <w:ind w:firstLine="0"/>
      </w:pPr>
      <w:bookmarkStart w:id="42" w:name="_Toc214462504"/>
      <w:r>
        <w:t>Applications métiers et ressources</w:t>
      </w:r>
      <w:bookmarkEnd w:id="42"/>
    </w:p>
    <w:p w14:paraId="322057D9" w14:textId="77777777" w:rsidR="00E85C0F" w:rsidRDefault="00C02AAC">
      <w:r>
        <w:t xml:space="preserve">L’université de Lille propose de nombreuses applications </w:t>
      </w:r>
    </w:p>
    <w:p w14:paraId="1DD6ED63" w14:textId="77777777" w:rsidR="00E85C0F" w:rsidRDefault="00C02AAC">
      <w:pPr>
        <w:numPr>
          <w:ilvl w:val="0"/>
          <w:numId w:val="18"/>
        </w:numPr>
      </w:pPr>
      <w:r>
        <w:t>dédiées au parcours étudiant (scolarité, pédagogiques, catalogue des bibliothèques, emploi du temps,  etc.)</w:t>
      </w:r>
    </w:p>
    <w:p w14:paraId="595DA25D" w14:textId="77777777" w:rsidR="00E85C0F" w:rsidRDefault="00C02AAC">
      <w:pPr>
        <w:numPr>
          <w:ilvl w:val="0"/>
          <w:numId w:val="18"/>
        </w:numPr>
      </w:pPr>
      <w:r>
        <w:t>de documentation (catalogue des bibliothèques, plateforme de thèse etc.)</w:t>
      </w:r>
    </w:p>
    <w:p w14:paraId="782ABAD9" w14:textId="77777777" w:rsidR="00E85C0F" w:rsidRDefault="00C02AAC">
      <w:pPr>
        <w:numPr>
          <w:ilvl w:val="0"/>
          <w:numId w:val="18"/>
        </w:numPr>
      </w:pPr>
      <w:r>
        <w:t xml:space="preserve">métiers (progiciel de gestion RH, finance, outil de planning etc.) </w:t>
      </w:r>
    </w:p>
    <w:p w14:paraId="1A4F1AB5" w14:textId="77777777" w:rsidR="00E85C0F" w:rsidRDefault="00C02AAC">
      <w:pPr>
        <w:numPr>
          <w:ilvl w:val="0"/>
          <w:numId w:val="18"/>
        </w:numPr>
      </w:pPr>
      <w:r>
        <w:lastRenderedPageBreak/>
        <w:t>bureau virtuel (messagerie, stockage de documents, visioconférence etc.)</w:t>
      </w:r>
    </w:p>
    <w:p w14:paraId="67C05F9A" w14:textId="77777777" w:rsidR="00E85C0F" w:rsidRDefault="00C02AAC">
      <w:pPr>
        <w:numPr>
          <w:ilvl w:val="0"/>
          <w:numId w:val="18"/>
        </w:numPr>
      </w:pPr>
      <w:r>
        <w:t xml:space="preserve">recherche (plateforme d’archives ouvertes etc.) </w:t>
      </w:r>
    </w:p>
    <w:p w14:paraId="5A208C95" w14:textId="77777777" w:rsidR="00E85C0F" w:rsidRDefault="00C02AAC">
      <w:pPr>
        <w:numPr>
          <w:ilvl w:val="0"/>
          <w:numId w:val="18"/>
        </w:numPr>
      </w:pPr>
      <w:r>
        <w:t>ressources en ligne diverses (</w:t>
      </w:r>
      <w:proofErr w:type="spellStart"/>
      <w:r>
        <w:t>UBIB</w:t>
      </w:r>
      <w:proofErr w:type="spellEnd"/>
      <w:r>
        <w:t>, Affluences...)</w:t>
      </w:r>
    </w:p>
    <w:p w14:paraId="2DBE10B7" w14:textId="77777777" w:rsidR="00E85C0F" w:rsidRDefault="00C02AAC">
      <w:pPr>
        <w:numPr>
          <w:ilvl w:val="0"/>
          <w:numId w:val="18"/>
        </w:numPr>
        <w:spacing w:after="170"/>
      </w:pPr>
      <w:r>
        <w:t>ressources pédagogiques diverses (numérisation 3D, enseignement à distance etc.)</w:t>
      </w:r>
    </w:p>
    <w:p w14:paraId="1A2FB2C1" w14:textId="77777777" w:rsidR="00E85C0F" w:rsidRDefault="00C02AAC">
      <w:r>
        <w:t xml:space="preserve">Un recensement complet des applications de l’Université de Lille va être effectué en 2025 par le nouveau </w:t>
      </w:r>
      <w:proofErr w:type="spellStart"/>
      <w:r>
        <w:t>PMO</w:t>
      </w:r>
      <w:proofErr w:type="spellEnd"/>
      <w:r>
        <w:t xml:space="preserve"> (Project Manager </w:t>
      </w:r>
      <w:proofErr w:type="spellStart"/>
      <w:r>
        <w:t>Officer</w:t>
      </w:r>
      <w:proofErr w:type="spellEnd"/>
      <w:r>
        <w:t xml:space="preserve">) de la </w:t>
      </w:r>
      <w:proofErr w:type="spellStart"/>
      <w:r>
        <w:t>DGDNum</w:t>
      </w:r>
      <w:proofErr w:type="spellEnd"/>
      <w:r>
        <w:t xml:space="preserve">. </w:t>
      </w:r>
    </w:p>
    <w:p w14:paraId="32E95FC5" w14:textId="77777777" w:rsidR="00E85C0F" w:rsidRDefault="00C02AAC">
      <w:pPr>
        <w:pStyle w:val="Titre1"/>
      </w:pPr>
      <w:bookmarkStart w:id="43" w:name="_Toc214462505"/>
      <w:r>
        <w:t>Annexe 3 : Liste des services numériques retenus pour mise en conformité</w:t>
      </w:r>
      <w:bookmarkEnd w:id="43"/>
      <w:r>
        <w:t xml:space="preserve"> </w:t>
      </w:r>
    </w:p>
    <w:p w14:paraId="3E0BD13F" w14:textId="77777777" w:rsidR="00E85C0F" w:rsidRDefault="00C02AAC">
      <w:pPr>
        <w:pStyle w:val="Titre2"/>
        <w:ind w:firstLine="0"/>
      </w:pPr>
      <w:bookmarkStart w:id="44" w:name="_Toc214462506"/>
      <w:r>
        <w:t>Évaluation et priorisation</w:t>
      </w:r>
      <w:bookmarkEnd w:id="44"/>
    </w:p>
    <w:p w14:paraId="66673F11" w14:textId="77777777" w:rsidR="00E85C0F" w:rsidRDefault="00C02AAC">
      <w:r>
        <w:t xml:space="preserve">Chaque site ou application a été évalué selon divers critères, tels que la fréquentation, le service rendu aux utilisateurs, la criticité, l'importance dans la réussite des étudiants et le cycle de vie. Parmi eux, le site de l'université, contenant l'offre de formation, ainsi que l'environnement numérique de travail, sont considérés comme prioritaires pour leur mise en conformité. </w:t>
      </w:r>
    </w:p>
    <w:p w14:paraId="5DBE2932" w14:textId="77777777" w:rsidR="00E85C0F" w:rsidRDefault="00C02AAC">
      <w:pPr>
        <w:numPr>
          <w:ilvl w:val="0"/>
          <w:numId w:val="19"/>
        </w:numPr>
      </w:pPr>
      <w:r>
        <w:t xml:space="preserve">Les autres sites web seront audités conformément à nos </w:t>
      </w:r>
      <w:r>
        <w:fldChar w:fldCharType="begin"/>
      </w:r>
      <w:r>
        <w:instrText xml:space="preserve"> REF __RefHeading___Toc544_4167883055 \h </w:instrText>
      </w:r>
      <w:r>
        <w:fldChar w:fldCharType="separate"/>
      </w:r>
      <w:r>
        <w:t xml:space="preserve">Plans d’action </w:t>
      </w:r>
      <w:r>
        <w:fldChar w:fldCharType="end"/>
      </w:r>
    </w:p>
    <w:p w14:paraId="633F561A" w14:textId="77777777" w:rsidR="00E85C0F" w:rsidRDefault="00C02AAC">
      <w:pPr>
        <w:numPr>
          <w:ilvl w:val="0"/>
          <w:numId w:val="19"/>
        </w:numPr>
      </w:pPr>
      <w:r>
        <w:t>Pour les autres applications éditées par des prestataires externes, leur évolution s’inscrira dans le cadre du processus d’élaboration des marchés et en collaboration avec les autres universités.</w:t>
      </w:r>
    </w:p>
    <w:p w14:paraId="4968C108" w14:textId="77777777" w:rsidR="00E85C0F" w:rsidRDefault="00C02AAC">
      <w:r>
        <w:t xml:space="preserve">Pour la période 2026 – 2028, les mises en conformité au RGAA se situent essentiellement dans le périmètre d’action du service web et multimédia, et seront progressivement étendues aux autres services de la </w:t>
      </w:r>
      <w:proofErr w:type="spellStart"/>
      <w:r>
        <w:t>DGDNum</w:t>
      </w:r>
      <w:proofErr w:type="spellEnd"/>
      <w:r>
        <w:t xml:space="preserve"> </w:t>
      </w:r>
    </w:p>
    <w:sectPr w:rsidR="00E85C0F" w:rsidSect="00F258B2">
      <w:footerReference w:type="default" r:id="rId19"/>
      <w:pgSz w:w="11906" w:h="16838"/>
      <w:pgMar w:top="960" w:right="1134" w:bottom="1755" w:left="1134" w:header="0" w:footer="737" w:gutter="0"/>
      <w:cols w:space="720"/>
      <w:formProt w:val="0"/>
      <w:titlePg/>
      <w:docGrid w:linePitch="312"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9A699" w14:textId="77777777" w:rsidR="00142690" w:rsidRDefault="00C02AAC">
      <w:pPr>
        <w:spacing w:line="240" w:lineRule="auto"/>
      </w:pPr>
      <w:r>
        <w:separator/>
      </w:r>
    </w:p>
  </w:endnote>
  <w:endnote w:type="continuationSeparator" w:id="0">
    <w:p w14:paraId="38EF99A1" w14:textId="77777777" w:rsidR="00142690" w:rsidRDefault="00C02A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Liberation Serif">
    <w:altName w:val="Times New Roman"/>
    <w:panose1 w:val="02020603050405020304"/>
    <w:charset w:val="01"/>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rianne">
    <w:panose1 w:val="02000000000000000000"/>
    <w:charset w:val="00"/>
    <w:family w:val="modern"/>
    <w:notTrueType/>
    <w:pitch w:val="variable"/>
    <w:sig w:usb0="0000000F"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Liberation Mono">
    <w:altName w:val="Courier New"/>
    <w:panose1 w:val="02070409020205020404"/>
    <w:charset w:val="01"/>
    <w:family w:val="modern"/>
    <w:pitch w:val="fixed"/>
    <w:sig w:usb0="E0000AFF" w:usb1="400078FF" w:usb2="00000001" w:usb3="00000000" w:csb0="000001BF" w:csb1="00000000"/>
  </w:font>
  <w:font w:name="Mangal">
    <w:panose1 w:val="00000400000000000000"/>
    <w:charset w:val="00"/>
    <w:family w:val="roman"/>
    <w:pitch w:val="variable"/>
    <w:sig w:usb0="00008003" w:usb1="00000000" w:usb2="00000000" w:usb3="00000000" w:csb0="00000001" w:csb1="00000000"/>
  </w:font>
  <w:font w:name="Source Sans Pro;Calibri;Candara">
    <w:altName w:val="Arial"/>
    <w:panose1 w:val="00000000000000000000"/>
    <w:charset w:val="00"/>
    <w:family w:val="roman"/>
    <w:notTrueType/>
    <w:pitch w:val="default"/>
  </w:font>
  <w:font w:name="Fira Sans;apple-system;BlinkMac">
    <w:altName w:val="Cambria"/>
    <w:panose1 w:val="00000000000000000000"/>
    <w:charset w:val="00"/>
    <w:family w:val="roman"/>
    <w:notTrueType/>
    <w:pitch w:val="default"/>
  </w:font>
  <w:font w:name="ma">
    <w:altName w:val="Calibri"/>
    <w:charset w:val="01"/>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1BD84" w14:textId="234B3B46" w:rsidR="00070963" w:rsidRDefault="00070963" w:rsidP="00070963">
    <w:pPr>
      <w:pStyle w:val="Pieddepage"/>
    </w:pPr>
    <w:r w:rsidRPr="00070963">
      <w:t>SPAN</w:t>
    </w:r>
    <w:r>
      <w:t xml:space="preserve"> </w:t>
    </w:r>
    <w:r w:rsidRPr="00070963">
      <w:t>-</w:t>
    </w:r>
    <w:r>
      <w:t xml:space="preserve"> </w:t>
    </w:r>
    <w:r w:rsidRPr="00070963">
      <w:t>Université de Lille 2026-2028</w:t>
    </w:r>
    <w:r>
      <w:tab/>
    </w:r>
    <w:r>
      <w:tab/>
      <w:t xml:space="preserve"> </w:t>
    </w:r>
    <w:sdt>
      <w:sdtPr>
        <w:id w:val="31846427"/>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Page </w:t>
            </w:r>
            <w:r>
              <w:rPr>
                <w:b/>
                <w:bCs/>
                <w:sz w:val="24"/>
              </w:rPr>
              <w:fldChar w:fldCharType="begin"/>
            </w:r>
            <w:r>
              <w:rPr>
                <w:b/>
                <w:bCs/>
              </w:rPr>
              <w:instrText>PAGE</w:instrText>
            </w:r>
            <w:r>
              <w:rPr>
                <w:b/>
                <w:bCs/>
                <w:sz w:val="24"/>
              </w:rPr>
              <w:fldChar w:fldCharType="separate"/>
            </w:r>
            <w:r>
              <w:rPr>
                <w:b/>
                <w:bCs/>
              </w:rPr>
              <w:t>2</w:t>
            </w:r>
            <w:r>
              <w:rPr>
                <w:b/>
                <w:bCs/>
                <w:sz w:val="24"/>
              </w:rPr>
              <w:fldChar w:fldCharType="end"/>
            </w:r>
            <w:r>
              <w:t xml:space="preserve"> sur </w:t>
            </w:r>
            <w:r>
              <w:rPr>
                <w:b/>
                <w:bCs/>
                <w:sz w:val="24"/>
              </w:rPr>
              <w:fldChar w:fldCharType="begin"/>
            </w:r>
            <w:r>
              <w:rPr>
                <w:b/>
                <w:bCs/>
              </w:rPr>
              <w:instrText>NUMPAGES</w:instrText>
            </w:r>
            <w:r>
              <w:rPr>
                <w:b/>
                <w:bCs/>
                <w:sz w:val="24"/>
              </w:rPr>
              <w:fldChar w:fldCharType="separate"/>
            </w:r>
            <w:r>
              <w:rPr>
                <w:b/>
                <w:bCs/>
              </w:rPr>
              <w:t>2</w:t>
            </w:r>
            <w:r>
              <w:rPr>
                <w:b/>
                <w:bCs/>
                <w:sz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2288C" w14:textId="77777777" w:rsidR="00E85C0F" w:rsidRDefault="00C02AAC">
      <w:pPr>
        <w:rPr>
          <w:sz w:val="12"/>
        </w:rPr>
      </w:pPr>
      <w:r>
        <w:separator/>
      </w:r>
    </w:p>
  </w:footnote>
  <w:footnote w:type="continuationSeparator" w:id="0">
    <w:p w14:paraId="2533B897" w14:textId="77777777" w:rsidR="00E85C0F" w:rsidRDefault="00C02AAC">
      <w:pPr>
        <w:rPr>
          <w:sz w:val="12"/>
        </w:rPr>
      </w:pPr>
      <w:r>
        <w:continuationSeparator/>
      </w:r>
    </w:p>
  </w:footnote>
  <w:footnote w:id="1">
    <w:p w14:paraId="2759E9AE" w14:textId="77777777" w:rsidR="00E85C0F" w:rsidRDefault="00C02AAC">
      <w:pPr>
        <w:pStyle w:val="Notedebasdepage"/>
      </w:pPr>
      <w:r>
        <w:rPr>
          <w:rStyle w:val="Caractresdenotedebasdepage"/>
        </w:rPr>
        <w:footnoteRef/>
      </w:r>
      <w:r>
        <w:tab/>
        <w:t>50 000 € pour le non-respect de l'obligation d'accessibilité mentionnée au I de l'article 47, et 25 000 € pour celui des obligations mentionnées aux III et IV du même article. :</w:t>
      </w:r>
    </w:p>
    <w:p w14:paraId="3F667E58" w14:textId="77777777" w:rsidR="00E85C0F" w:rsidRDefault="00C02AAC">
      <w:pPr>
        <w:pStyle w:val="Notedebasdepage"/>
      </w:pPr>
      <w:r>
        <w:t>https://www.legifrance.gouv.fr/loda/article_lc/LEGIARTI000048050174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B0E"/>
    <w:multiLevelType w:val="multilevel"/>
    <w:tmpl w:val="6F823B40"/>
    <w:lvl w:ilvl="0">
      <w:start w:val="1"/>
      <w:numFmt w:val="bullet"/>
      <w:lvlText w:val=""/>
      <w:lvlJc w:val="left"/>
      <w:pPr>
        <w:tabs>
          <w:tab w:val="num" w:pos="779"/>
        </w:tabs>
        <w:ind w:left="779" w:hanging="360"/>
      </w:pPr>
      <w:rPr>
        <w:rFonts w:ascii="Symbol" w:hAnsi="Symbol" w:cs="Symbol" w:hint="default"/>
      </w:rPr>
    </w:lvl>
    <w:lvl w:ilvl="1">
      <w:start w:val="1"/>
      <w:numFmt w:val="bullet"/>
      <w:lvlText w:val="◦"/>
      <w:lvlJc w:val="left"/>
      <w:pPr>
        <w:tabs>
          <w:tab w:val="num" w:pos="1139"/>
        </w:tabs>
        <w:ind w:left="1139" w:hanging="360"/>
      </w:pPr>
      <w:rPr>
        <w:rFonts w:ascii="OpenSymbol" w:hAnsi="OpenSymbol" w:cs="OpenSymbol" w:hint="default"/>
      </w:rPr>
    </w:lvl>
    <w:lvl w:ilvl="2">
      <w:start w:val="1"/>
      <w:numFmt w:val="bullet"/>
      <w:lvlText w:val="▪"/>
      <w:lvlJc w:val="left"/>
      <w:pPr>
        <w:tabs>
          <w:tab w:val="num" w:pos="1499"/>
        </w:tabs>
        <w:ind w:left="1499" w:hanging="360"/>
      </w:pPr>
      <w:rPr>
        <w:rFonts w:ascii="OpenSymbol" w:hAnsi="OpenSymbol" w:cs="OpenSymbol" w:hint="default"/>
      </w:rPr>
    </w:lvl>
    <w:lvl w:ilvl="3">
      <w:start w:val="1"/>
      <w:numFmt w:val="bullet"/>
      <w:lvlText w:val=""/>
      <w:lvlJc w:val="left"/>
      <w:pPr>
        <w:tabs>
          <w:tab w:val="num" w:pos="1859"/>
        </w:tabs>
        <w:ind w:left="1859" w:hanging="360"/>
      </w:pPr>
      <w:rPr>
        <w:rFonts w:ascii="Symbol" w:hAnsi="Symbol" w:cs="Symbol" w:hint="default"/>
      </w:rPr>
    </w:lvl>
    <w:lvl w:ilvl="4">
      <w:start w:val="1"/>
      <w:numFmt w:val="bullet"/>
      <w:lvlText w:val="◦"/>
      <w:lvlJc w:val="left"/>
      <w:pPr>
        <w:tabs>
          <w:tab w:val="num" w:pos="2219"/>
        </w:tabs>
        <w:ind w:left="2219" w:hanging="360"/>
      </w:pPr>
      <w:rPr>
        <w:rFonts w:ascii="OpenSymbol" w:hAnsi="OpenSymbol" w:cs="OpenSymbol" w:hint="default"/>
      </w:rPr>
    </w:lvl>
    <w:lvl w:ilvl="5">
      <w:start w:val="1"/>
      <w:numFmt w:val="bullet"/>
      <w:lvlText w:val="▪"/>
      <w:lvlJc w:val="left"/>
      <w:pPr>
        <w:tabs>
          <w:tab w:val="num" w:pos="2579"/>
        </w:tabs>
        <w:ind w:left="2579" w:hanging="360"/>
      </w:pPr>
      <w:rPr>
        <w:rFonts w:ascii="OpenSymbol" w:hAnsi="OpenSymbol" w:cs="OpenSymbol" w:hint="default"/>
      </w:rPr>
    </w:lvl>
    <w:lvl w:ilvl="6">
      <w:start w:val="1"/>
      <w:numFmt w:val="bullet"/>
      <w:lvlText w:val=""/>
      <w:lvlJc w:val="left"/>
      <w:pPr>
        <w:tabs>
          <w:tab w:val="num" w:pos="2939"/>
        </w:tabs>
        <w:ind w:left="2939" w:hanging="360"/>
      </w:pPr>
      <w:rPr>
        <w:rFonts w:ascii="Symbol" w:hAnsi="Symbol" w:cs="Symbol" w:hint="default"/>
      </w:rPr>
    </w:lvl>
    <w:lvl w:ilvl="7">
      <w:start w:val="1"/>
      <w:numFmt w:val="bullet"/>
      <w:lvlText w:val="◦"/>
      <w:lvlJc w:val="left"/>
      <w:pPr>
        <w:tabs>
          <w:tab w:val="num" w:pos="3299"/>
        </w:tabs>
        <w:ind w:left="3299" w:hanging="360"/>
      </w:pPr>
      <w:rPr>
        <w:rFonts w:ascii="OpenSymbol" w:hAnsi="OpenSymbol" w:cs="OpenSymbol" w:hint="default"/>
      </w:rPr>
    </w:lvl>
    <w:lvl w:ilvl="8">
      <w:start w:val="1"/>
      <w:numFmt w:val="bullet"/>
      <w:lvlText w:val="▪"/>
      <w:lvlJc w:val="left"/>
      <w:pPr>
        <w:tabs>
          <w:tab w:val="num" w:pos="3659"/>
        </w:tabs>
        <w:ind w:left="3659" w:hanging="360"/>
      </w:pPr>
      <w:rPr>
        <w:rFonts w:ascii="OpenSymbol" w:hAnsi="OpenSymbol" w:cs="OpenSymbol" w:hint="default"/>
      </w:rPr>
    </w:lvl>
  </w:abstractNum>
  <w:abstractNum w:abstractNumId="1" w15:restartNumberingAfterBreak="0">
    <w:nsid w:val="03FB5E4B"/>
    <w:multiLevelType w:val="multilevel"/>
    <w:tmpl w:val="673E2EE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099A1B26"/>
    <w:multiLevelType w:val="multilevel"/>
    <w:tmpl w:val="72B0272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0A865907"/>
    <w:multiLevelType w:val="multilevel"/>
    <w:tmpl w:val="79983A6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0C886AF4"/>
    <w:multiLevelType w:val="multilevel"/>
    <w:tmpl w:val="B3902AE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1211565B"/>
    <w:multiLevelType w:val="multilevel"/>
    <w:tmpl w:val="2D0A4F1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1A8051E6"/>
    <w:multiLevelType w:val="multilevel"/>
    <w:tmpl w:val="616494A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1AE030B7"/>
    <w:multiLevelType w:val="multilevel"/>
    <w:tmpl w:val="44EEC06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2B686F92"/>
    <w:multiLevelType w:val="multilevel"/>
    <w:tmpl w:val="FD74CE8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336F77CB"/>
    <w:multiLevelType w:val="multilevel"/>
    <w:tmpl w:val="D1CAA7F4"/>
    <w:lvl w:ilvl="0">
      <w:start w:val="1"/>
      <w:numFmt w:val="upperRoman"/>
      <w:pStyle w:val="Titre1"/>
      <w:lvlText w:val="%1."/>
      <w:lvlJc w:val="left"/>
      <w:pPr>
        <w:tabs>
          <w:tab w:val="num" w:pos="0"/>
        </w:tabs>
        <w:ind w:left="0" w:firstLine="0"/>
      </w:pPr>
    </w:lvl>
    <w:lvl w:ilvl="1">
      <w:start w:val="1"/>
      <w:numFmt w:val="decimal"/>
      <w:pStyle w:val="Titre2"/>
      <w:lvlText w:val="%1.%2 - "/>
      <w:lvlJc w:val="left"/>
      <w:pPr>
        <w:tabs>
          <w:tab w:val="num" w:pos="0"/>
        </w:tabs>
        <w:ind w:left="0" w:firstLine="283"/>
      </w:pPr>
    </w:lvl>
    <w:lvl w:ilvl="2">
      <w:start w:val="1"/>
      <w:numFmt w:val="decimal"/>
      <w:pStyle w:val="Titre3"/>
      <w:lvlText w:val="%1.%2.%3"/>
      <w:lvlJc w:val="left"/>
      <w:pPr>
        <w:tabs>
          <w:tab w:val="num" w:pos="0"/>
        </w:tabs>
        <w:ind w:left="0" w:firstLine="1134"/>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0" w15:restartNumberingAfterBreak="0">
    <w:nsid w:val="49173645"/>
    <w:multiLevelType w:val="multilevel"/>
    <w:tmpl w:val="60A86D6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15:restartNumberingAfterBreak="0">
    <w:nsid w:val="4C8E3AA8"/>
    <w:multiLevelType w:val="multilevel"/>
    <w:tmpl w:val="F59AA8D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15:restartNumberingAfterBreak="0">
    <w:nsid w:val="4C9E1F59"/>
    <w:multiLevelType w:val="multilevel"/>
    <w:tmpl w:val="B782687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15:restartNumberingAfterBreak="0">
    <w:nsid w:val="53053788"/>
    <w:multiLevelType w:val="multilevel"/>
    <w:tmpl w:val="5BDA11F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4" w15:restartNumberingAfterBreak="0">
    <w:nsid w:val="5B436095"/>
    <w:multiLevelType w:val="multilevel"/>
    <w:tmpl w:val="E35013C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5" w15:restartNumberingAfterBreak="0">
    <w:nsid w:val="66384AF2"/>
    <w:multiLevelType w:val="multilevel"/>
    <w:tmpl w:val="CF10119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15:restartNumberingAfterBreak="0">
    <w:nsid w:val="69D32067"/>
    <w:multiLevelType w:val="multilevel"/>
    <w:tmpl w:val="87B6F6DE"/>
    <w:lvl w:ilvl="0">
      <w:start w:val="1"/>
      <w:numFmt w:val="bullet"/>
      <w:lvlText w:val=""/>
      <w:lvlJc w:val="left"/>
      <w:pPr>
        <w:tabs>
          <w:tab w:val="num" w:pos="777"/>
        </w:tabs>
        <w:ind w:left="777" w:hanging="360"/>
      </w:pPr>
      <w:rPr>
        <w:rFonts w:ascii="Symbol" w:hAnsi="Symbol" w:cs="Symbol" w:hint="default"/>
      </w:rPr>
    </w:lvl>
    <w:lvl w:ilvl="1">
      <w:start w:val="1"/>
      <w:numFmt w:val="bullet"/>
      <w:lvlText w:val="◦"/>
      <w:lvlJc w:val="left"/>
      <w:pPr>
        <w:tabs>
          <w:tab w:val="num" w:pos="1137"/>
        </w:tabs>
        <w:ind w:left="1137" w:hanging="360"/>
      </w:pPr>
      <w:rPr>
        <w:rFonts w:ascii="OpenSymbol" w:hAnsi="OpenSymbol" w:cs="OpenSymbol" w:hint="default"/>
      </w:rPr>
    </w:lvl>
    <w:lvl w:ilvl="2">
      <w:start w:val="1"/>
      <w:numFmt w:val="bullet"/>
      <w:lvlText w:val="▪"/>
      <w:lvlJc w:val="left"/>
      <w:pPr>
        <w:tabs>
          <w:tab w:val="num" w:pos="1497"/>
        </w:tabs>
        <w:ind w:left="1497" w:hanging="360"/>
      </w:pPr>
      <w:rPr>
        <w:rFonts w:ascii="OpenSymbol" w:hAnsi="OpenSymbol" w:cs="OpenSymbol" w:hint="default"/>
      </w:rPr>
    </w:lvl>
    <w:lvl w:ilvl="3">
      <w:start w:val="1"/>
      <w:numFmt w:val="bullet"/>
      <w:lvlText w:val=""/>
      <w:lvlJc w:val="left"/>
      <w:pPr>
        <w:tabs>
          <w:tab w:val="num" w:pos="1857"/>
        </w:tabs>
        <w:ind w:left="1857" w:hanging="360"/>
      </w:pPr>
      <w:rPr>
        <w:rFonts w:ascii="Symbol" w:hAnsi="Symbol" w:cs="Symbol" w:hint="default"/>
      </w:rPr>
    </w:lvl>
    <w:lvl w:ilvl="4">
      <w:start w:val="1"/>
      <w:numFmt w:val="bullet"/>
      <w:lvlText w:val="◦"/>
      <w:lvlJc w:val="left"/>
      <w:pPr>
        <w:tabs>
          <w:tab w:val="num" w:pos="2217"/>
        </w:tabs>
        <w:ind w:left="2217" w:hanging="360"/>
      </w:pPr>
      <w:rPr>
        <w:rFonts w:ascii="OpenSymbol" w:hAnsi="OpenSymbol" w:cs="OpenSymbol" w:hint="default"/>
      </w:rPr>
    </w:lvl>
    <w:lvl w:ilvl="5">
      <w:start w:val="1"/>
      <w:numFmt w:val="bullet"/>
      <w:lvlText w:val="▪"/>
      <w:lvlJc w:val="left"/>
      <w:pPr>
        <w:tabs>
          <w:tab w:val="num" w:pos="2577"/>
        </w:tabs>
        <w:ind w:left="2577" w:hanging="360"/>
      </w:pPr>
      <w:rPr>
        <w:rFonts w:ascii="OpenSymbol" w:hAnsi="OpenSymbol" w:cs="OpenSymbol" w:hint="default"/>
      </w:rPr>
    </w:lvl>
    <w:lvl w:ilvl="6">
      <w:start w:val="1"/>
      <w:numFmt w:val="bullet"/>
      <w:lvlText w:val=""/>
      <w:lvlJc w:val="left"/>
      <w:pPr>
        <w:tabs>
          <w:tab w:val="num" w:pos="2937"/>
        </w:tabs>
        <w:ind w:left="2937" w:hanging="360"/>
      </w:pPr>
      <w:rPr>
        <w:rFonts w:ascii="Symbol" w:hAnsi="Symbol" w:cs="Symbol" w:hint="default"/>
      </w:rPr>
    </w:lvl>
    <w:lvl w:ilvl="7">
      <w:start w:val="1"/>
      <w:numFmt w:val="bullet"/>
      <w:lvlText w:val="◦"/>
      <w:lvlJc w:val="left"/>
      <w:pPr>
        <w:tabs>
          <w:tab w:val="num" w:pos="3297"/>
        </w:tabs>
        <w:ind w:left="3297" w:hanging="360"/>
      </w:pPr>
      <w:rPr>
        <w:rFonts w:ascii="OpenSymbol" w:hAnsi="OpenSymbol" w:cs="OpenSymbol" w:hint="default"/>
      </w:rPr>
    </w:lvl>
    <w:lvl w:ilvl="8">
      <w:start w:val="1"/>
      <w:numFmt w:val="bullet"/>
      <w:lvlText w:val="▪"/>
      <w:lvlJc w:val="left"/>
      <w:pPr>
        <w:tabs>
          <w:tab w:val="num" w:pos="3657"/>
        </w:tabs>
        <w:ind w:left="3657" w:hanging="360"/>
      </w:pPr>
      <w:rPr>
        <w:rFonts w:ascii="OpenSymbol" w:hAnsi="OpenSymbol" w:cs="OpenSymbol" w:hint="default"/>
      </w:rPr>
    </w:lvl>
  </w:abstractNum>
  <w:abstractNum w:abstractNumId="17" w15:restartNumberingAfterBreak="0">
    <w:nsid w:val="753309F1"/>
    <w:multiLevelType w:val="multilevel"/>
    <w:tmpl w:val="2E42E6D4"/>
    <w:lvl w:ilvl="0">
      <w:start w:val="1"/>
      <w:numFmt w:val="bullet"/>
      <w:lvlText w:val=""/>
      <w:lvlJc w:val="left"/>
      <w:pPr>
        <w:tabs>
          <w:tab w:val="num" w:pos="777"/>
        </w:tabs>
        <w:ind w:left="777" w:hanging="360"/>
      </w:pPr>
      <w:rPr>
        <w:rFonts w:ascii="Symbol" w:hAnsi="Symbol" w:cs="Symbol" w:hint="default"/>
      </w:rPr>
    </w:lvl>
    <w:lvl w:ilvl="1">
      <w:start w:val="1"/>
      <w:numFmt w:val="bullet"/>
      <w:lvlText w:val="◦"/>
      <w:lvlJc w:val="left"/>
      <w:pPr>
        <w:tabs>
          <w:tab w:val="num" w:pos="1137"/>
        </w:tabs>
        <w:ind w:left="1137" w:hanging="360"/>
      </w:pPr>
      <w:rPr>
        <w:rFonts w:ascii="OpenSymbol" w:hAnsi="OpenSymbol" w:cs="OpenSymbol" w:hint="default"/>
      </w:rPr>
    </w:lvl>
    <w:lvl w:ilvl="2">
      <w:start w:val="1"/>
      <w:numFmt w:val="bullet"/>
      <w:lvlText w:val="▪"/>
      <w:lvlJc w:val="left"/>
      <w:pPr>
        <w:tabs>
          <w:tab w:val="num" w:pos="1497"/>
        </w:tabs>
        <w:ind w:left="1497" w:hanging="360"/>
      </w:pPr>
      <w:rPr>
        <w:rFonts w:ascii="OpenSymbol" w:hAnsi="OpenSymbol" w:cs="OpenSymbol" w:hint="default"/>
      </w:rPr>
    </w:lvl>
    <w:lvl w:ilvl="3">
      <w:start w:val="1"/>
      <w:numFmt w:val="bullet"/>
      <w:lvlText w:val=""/>
      <w:lvlJc w:val="left"/>
      <w:pPr>
        <w:tabs>
          <w:tab w:val="num" w:pos="1857"/>
        </w:tabs>
        <w:ind w:left="1857" w:hanging="360"/>
      </w:pPr>
      <w:rPr>
        <w:rFonts w:ascii="Symbol" w:hAnsi="Symbol" w:cs="Symbol" w:hint="default"/>
      </w:rPr>
    </w:lvl>
    <w:lvl w:ilvl="4">
      <w:start w:val="1"/>
      <w:numFmt w:val="bullet"/>
      <w:lvlText w:val="◦"/>
      <w:lvlJc w:val="left"/>
      <w:pPr>
        <w:tabs>
          <w:tab w:val="num" w:pos="2217"/>
        </w:tabs>
        <w:ind w:left="2217" w:hanging="360"/>
      </w:pPr>
      <w:rPr>
        <w:rFonts w:ascii="OpenSymbol" w:hAnsi="OpenSymbol" w:cs="OpenSymbol" w:hint="default"/>
      </w:rPr>
    </w:lvl>
    <w:lvl w:ilvl="5">
      <w:start w:val="1"/>
      <w:numFmt w:val="bullet"/>
      <w:lvlText w:val="▪"/>
      <w:lvlJc w:val="left"/>
      <w:pPr>
        <w:tabs>
          <w:tab w:val="num" w:pos="2577"/>
        </w:tabs>
        <w:ind w:left="2577" w:hanging="360"/>
      </w:pPr>
      <w:rPr>
        <w:rFonts w:ascii="OpenSymbol" w:hAnsi="OpenSymbol" w:cs="OpenSymbol" w:hint="default"/>
      </w:rPr>
    </w:lvl>
    <w:lvl w:ilvl="6">
      <w:start w:val="1"/>
      <w:numFmt w:val="bullet"/>
      <w:lvlText w:val=""/>
      <w:lvlJc w:val="left"/>
      <w:pPr>
        <w:tabs>
          <w:tab w:val="num" w:pos="2937"/>
        </w:tabs>
        <w:ind w:left="2937" w:hanging="360"/>
      </w:pPr>
      <w:rPr>
        <w:rFonts w:ascii="Symbol" w:hAnsi="Symbol" w:cs="Symbol" w:hint="default"/>
      </w:rPr>
    </w:lvl>
    <w:lvl w:ilvl="7">
      <w:start w:val="1"/>
      <w:numFmt w:val="bullet"/>
      <w:lvlText w:val="◦"/>
      <w:lvlJc w:val="left"/>
      <w:pPr>
        <w:tabs>
          <w:tab w:val="num" w:pos="3297"/>
        </w:tabs>
        <w:ind w:left="3297" w:hanging="360"/>
      </w:pPr>
      <w:rPr>
        <w:rFonts w:ascii="OpenSymbol" w:hAnsi="OpenSymbol" w:cs="OpenSymbol" w:hint="default"/>
      </w:rPr>
    </w:lvl>
    <w:lvl w:ilvl="8">
      <w:start w:val="1"/>
      <w:numFmt w:val="bullet"/>
      <w:lvlText w:val="▪"/>
      <w:lvlJc w:val="left"/>
      <w:pPr>
        <w:tabs>
          <w:tab w:val="num" w:pos="3657"/>
        </w:tabs>
        <w:ind w:left="3657" w:hanging="360"/>
      </w:pPr>
      <w:rPr>
        <w:rFonts w:ascii="OpenSymbol" w:hAnsi="OpenSymbol" w:cs="OpenSymbol" w:hint="default"/>
      </w:rPr>
    </w:lvl>
  </w:abstractNum>
  <w:abstractNum w:abstractNumId="18" w15:restartNumberingAfterBreak="0">
    <w:nsid w:val="7BF81ACF"/>
    <w:multiLevelType w:val="multilevel"/>
    <w:tmpl w:val="53263816"/>
    <w:lvl w:ilvl="0">
      <w:start w:val="1"/>
      <w:numFmt w:val="bullet"/>
      <w:lvlText w:val=""/>
      <w:lvlJc w:val="left"/>
      <w:pPr>
        <w:tabs>
          <w:tab w:val="num" w:pos="1067"/>
        </w:tabs>
        <w:ind w:left="1067" w:hanging="283"/>
      </w:pPr>
      <w:rPr>
        <w:rFonts w:ascii="Symbol" w:hAnsi="Symbol" w:cs="Symbol" w:hint="default"/>
      </w:rPr>
    </w:lvl>
    <w:lvl w:ilvl="1">
      <w:start w:val="1"/>
      <w:numFmt w:val="bullet"/>
      <w:lvlText w:val=""/>
      <w:lvlJc w:val="left"/>
      <w:pPr>
        <w:tabs>
          <w:tab w:val="num" w:pos="1774"/>
        </w:tabs>
        <w:ind w:left="1774" w:hanging="283"/>
      </w:pPr>
      <w:rPr>
        <w:rFonts w:ascii="Symbol" w:hAnsi="Symbol" w:cs="Symbol" w:hint="default"/>
      </w:rPr>
    </w:lvl>
    <w:lvl w:ilvl="2">
      <w:start w:val="1"/>
      <w:numFmt w:val="bullet"/>
      <w:lvlText w:val=""/>
      <w:lvlJc w:val="left"/>
      <w:pPr>
        <w:tabs>
          <w:tab w:val="num" w:pos="2481"/>
        </w:tabs>
        <w:ind w:left="2481" w:hanging="283"/>
      </w:pPr>
      <w:rPr>
        <w:rFonts w:ascii="Symbol" w:hAnsi="Symbol" w:cs="Symbol" w:hint="default"/>
      </w:rPr>
    </w:lvl>
    <w:lvl w:ilvl="3">
      <w:start w:val="1"/>
      <w:numFmt w:val="bullet"/>
      <w:lvlText w:val=""/>
      <w:lvlJc w:val="left"/>
      <w:pPr>
        <w:tabs>
          <w:tab w:val="num" w:pos="3188"/>
        </w:tabs>
        <w:ind w:left="3188" w:hanging="283"/>
      </w:pPr>
      <w:rPr>
        <w:rFonts w:ascii="Symbol" w:hAnsi="Symbol" w:cs="Symbol" w:hint="default"/>
      </w:rPr>
    </w:lvl>
    <w:lvl w:ilvl="4">
      <w:start w:val="1"/>
      <w:numFmt w:val="bullet"/>
      <w:lvlText w:val=""/>
      <w:lvlJc w:val="left"/>
      <w:pPr>
        <w:tabs>
          <w:tab w:val="num" w:pos="3895"/>
        </w:tabs>
        <w:ind w:left="3895" w:hanging="283"/>
      </w:pPr>
      <w:rPr>
        <w:rFonts w:ascii="Symbol" w:hAnsi="Symbol" w:cs="Symbol" w:hint="default"/>
      </w:rPr>
    </w:lvl>
    <w:lvl w:ilvl="5">
      <w:start w:val="1"/>
      <w:numFmt w:val="bullet"/>
      <w:lvlText w:val=""/>
      <w:lvlJc w:val="left"/>
      <w:pPr>
        <w:tabs>
          <w:tab w:val="num" w:pos="4602"/>
        </w:tabs>
        <w:ind w:left="4602" w:hanging="283"/>
      </w:pPr>
      <w:rPr>
        <w:rFonts w:ascii="Symbol" w:hAnsi="Symbol" w:cs="Symbol" w:hint="default"/>
      </w:rPr>
    </w:lvl>
    <w:lvl w:ilvl="6">
      <w:start w:val="1"/>
      <w:numFmt w:val="bullet"/>
      <w:lvlText w:val=""/>
      <w:lvlJc w:val="left"/>
      <w:pPr>
        <w:tabs>
          <w:tab w:val="num" w:pos="5309"/>
        </w:tabs>
        <w:ind w:left="5309" w:hanging="283"/>
      </w:pPr>
      <w:rPr>
        <w:rFonts w:ascii="Symbol" w:hAnsi="Symbol" w:cs="Symbol" w:hint="default"/>
      </w:rPr>
    </w:lvl>
    <w:lvl w:ilvl="7">
      <w:start w:val="1"/>
      <w:numFmt w:val="bullet"/>
      <w:lvlText w:val=""/>
      <w:lvlJc w:val="left"/>
      <w:pPr>
        <w:tabs>
          <w:tab w:val="num" w:pos="6016"/>
        </w:tabs>
        <w:ind w:left="6016" w:hanging="283"/>
      </w:pPr>
      <w:rPr>
        <w:rFonts w:ascii="Symbol" w:hAnsi="Symbol" w:cs="Symbol" w:hint="default"/>
      </w:rPr>
    </w:lvl>
    <w:lvl w:ilvl="8">
      <w:start w:val="1"/>
      <w:numFmt w:val="bullet"/>
      <w:lvlText w:val=""/>
      <w:lvlJc w:val="left"/>
      <w:pPr>
        <w:tabs>
          <w:tab w:val="num" w:pos="6723"/>
        </w:tabs>
        <w:ind w:left="6723" w:hanging="283"/>
      </w:pPr>
      <w:rPr>
        <w:rFonts w:ascii="Symbol" w:hAnsi="Symbol" w:cs="Symbol" w:hint="default"/>
      </w:rPr>
    </w:lvl>
  </w:abstractNum>
  <w:num w:numId="1">
    <w:abstractNumId w:val="9"/>
  </w:num>
  <w:num w:numId="2">
    <w:abstractNumId w:val="17"/>
  </w:num>
  <w:num w:numId="3">
    <w:abstractNumId w:val="16"/>
  </w:num>
  <w:num w:numId="4">
    <w:abstractNumId w:val="5"/>
  </w:num>
  <w:num w:numId="5">
    <w:abstractNumId w:val="6"/>
  </w:num>
  <w:num w:numId="6">
    <w:abstractNumId w:val="13"/>
  </w:num>
  <w:num w:numId="7">
    <w:abstractNumId w:val="14"/>
  </w:num>
  <w:num w:numId="8">
    <w:abstractNumId w:val="0"/>
  </w:num>
  <w:num w:numId="9">
    <w:abstractNumId w:val="10"/>
  </w:num>
  <w:num w:numId="10">
    <w:abstractNumId w:val="8"/>
  </w:num>
  <w:num w:numId="11">
    <w:abstractNumId w:val="4"/>
  </w:num>
  <w:num w:numId="12">
    <w:abstractNumId w:val="15"/>
  </w:num>
  <w:num w:numId="13">
    <w:abstractNumId w:val="7"/>
  </w:num>
  <w:num w:numId="14">
    <w:abstractNumId w:val="12"/>
  </w:num>
  <w:num w:numId="15">
    <w:abstractNumId w:val="11"/>
  </w:num>
  <w:num w:numId="16">
    <w:abstractNumId w:val="18"/>
  </w:num>
  <w:num w:numId="17">
    <w:abstractNumId w:val="3"/>
  </w:num>
  <w:num w:numId="18">
    <w:abstractNumId w:val="2"/>
  </w:num>
  <w:num w:numId="19">
    <w:abstractNumId w:val="1"/>
  </w:num>
  <w:num w:numId="20">
    <w:abstractNumId w:val="7"/>
  </w:num>
  <w:num w:numId="21">
    <w:abstractNumId w:val="7"/>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E85C0F"/>
    <w:rsid w:val="00070963"/>
    <w:rsid w:val="00142690"/>
    <w:rsid w:val="001A5FF6"/>
    <w:rsid w:val="002521A9"/>
    <w:rsid w:val="00261BF8"/>
    <w:rsid w:val="002E538E"/>
    <w:rsid w:val="002F7F4F"/>
    <w:rsid w:val="00323E35"/>
    <w:rsid w:val="003C13E6"/>
    <w:rsid w:val="004714C0"/>
    <w:rsid w:val="007D2722"/>
    <w:rsid w:val="00835278"/>
    <w:rsid w:val="00852BAA"/>
    <w:rsid w:val="00895242"/>
    <w:rsid w:val="00947DBE"/>
    <w:rsid w:val="00A348DC"/>
    <w:rsid w:val="00A51632"/>
    <w:rsid w:val="00A74432"/>
    <w:rsid w:val="00AE1C8E"/>
    <w:rsid w:val="00B90C0C"/>
    <w:rsid w:val="00BA12C7"/>
    <w:rsid w:val="00BC7FD7"/>
    <w:rsid w:val="00C02AAC"/>
    <w:rsid w:val="00C23DFB"/>
    <w:rsid w:val="00CF2D4C"/>
    <w:rsid w:val="00DF6EC9"/>
    <w:rsid w:val="00E85C0F"/>
    <w:rsid w:val="00EA7A1F"/>
    <w:rsid w:val="00EB567F"/>
    <w:rsid w:val="00F258B2"/>
    <w:rsid w:val="00F412FE"/>
    <w:rsid w:val="00F8200B"/>
    <w:rsid w:val="00FB4A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98D887"/>
  <w15:docId w15:val="{CF146BC6-D748-47C2-AA87-DD079E60C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2"/>
        <w:sz w:val="24"/>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rFonts w:ascii="Marianne" w:hAnsi="Marianne"/>
      <w:sz w:val="22"/>
    </w:rPr>
  </w:style>
  <w:style w:type="paragraph" w:styleId="Titre1">
    <w:name w:val="heading 1"/>
    <w:basedOn w:val="Normal"/>
    <w:next w:val="Corpsdetexte"/>
    <w:uiPriority w:val="9"/>
    <w:qFormat/>
    <w:pPr>
      <w:numPr>
        <w:numId w:val="1"/>
      </w:numPr>
      <w:spacing w:before="283" w:after="283" w:line="567" w:lineRule="exact"/>
      <w:ind w:right="170"/>
      <w:outlineLvl w:val="0"/>
    </w:pPr>
    <w:rPr>
      <w:b/>
      <w:bCs/>
      <w:caps/>
      <w:sz w:val="41"/>
      <w:szCs w:val="36"/>
    </w:rPr>
  </w:style>
  <w:style w:type="paragraph" w:styleId="Titre2">
    <w:name w:val="heading 2"/>
    <w:basedOn w:val="Normal"/>
    <w:next w:val="Corpsdetexte"/>
    <w:uiPriority w:val="9"/>
    <w:unhideWhenUsed/>
    <w:qFormat/>
    <w:pPr>
      <w:numPr>
        <w:ilvl w:val="1"/>
        <w:numId w:val="1"/>
      </w:numPr>
      <w:spacing w:before="283" w:after="227"/>
      <w:outlineLvl w:val="1"/>
    </w:pPr>
    <w:rPr>
      <w:b/>
      <w:bCs/>
      <w:sz w:val="34"/>
      <w:szCs w:val="32"/>
    </w:rPr>
  </w:style>
  <w:style w:type="paragraph" w:styleId="Titre3">
    <w:name w:val="heading 3"/>
    <w:basedOn w:val="Normal"/>
    <w:next w:val="Corpsdetexte"/>
    <w:uiPriority w:val="9"/>
    <w:unhideWhenUsed/>
    <w:qFormat/>
    <w:pPr>
      <w:numPr>
        <w:ilvl w:val="2"/>
        <w:numId w:val="1"/>
      </w:numPr>
      <w:spacing w:before="170" w:after="170"/>
      <w:outlineLvl w:val="2"/>
    </w:pPr>
    <w:rPr>
      <w:bCs/>
      <w:sz w:val="31"/>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uces">
    <w:name w:val="Puces"/>
    <w:qFormat/>
    <w:rPr>
      <w:rFonts w:ascii="OpenSymbol" w:eastAsia="OpenSymbol" w:hAnsi="OpenSymbol" w:cs="OpenSymbol"/>
    </w:rPr>
  </w:style>
  <w:style w:type="character" w:customStyle="1" w:styleId="Caractresdenumrotation">
    <w:name w:val="Caractères de numérotation"/>
    <w:qFormat/>
  </w:style>
  <w:style w:type="character" w:styleId="lev">
    <w:name w:val="Strong"/>
    <w:qFormat/>
    <w:rPr>
      <w:b/>
      <w:bCs/>
    </w:rPr>
  </w:style>
  <w:style w:type="character" w:styleId="Lienhypertexte">
    <w:name w:val="Hyperlink"/>
    <w:uiPriority w:val="99"/>
    <w:rPr>
      <w:color w:val="000080"/>
      <w:u w:val="single"/>
    </w:rPr>
  </w:style>
  <w:style w:type="character" w:customStyle="1" w:styleId="Sautdindex">
    <w:name w:val="Saut d'index"/>
    <w:qFormat/>
  </w:style>
  <w:style w:type="character" w:styleId="Numrodeligne">
    <w:name w:val="line number"/>
  </w:style>
  <w:style w:type="character" w:styleId="Lienhypertextesuivivisit">
    <w:name w:val="FollowedHyperlink"/>
    <w:rPr>
      <w:color w:val="800000"/>
      <w:u w:val="single"/>
    </w:rPr>
  </w:style>
  <w:style w:type="character" w:customStyle="1" w:styleId="Caractresdenotedebasdepage">
    <w:name w:val="Caractères de note de bas de page"/>
    <w:qFormat/>
  </w:style>
  <w:style w:type="character" w:styleId="Appelnotedebasdep">
    <w:name w:val="footnote reference"/>
    <w:rPr>
      <w:vertAlign w:val="superscript"/>
    </w:rPr>
  </w:style>
  <w:style w:type="character" w:customStyle="1" w:styleId="TextedebullesCar">
    <w:name w:val="Texte de bulles Car"/>
    <w:qFormat/>
    <w:rPr>
      <w:rFonts w:ascii="Segoe UI" w:eastAsia="Times New Roman" w:hAnsi="Segoe UI" w:cs="Segoe UI"/>
      <w:color w:val="000000"/>
      <w:sz w:val="18"/>
      <w:szCs w:val="18"/>
    </w:rPr>
  </w:style>
  <w:style w:type="character" w:customStyle="1" w:styleId="ObjetducommentaireCar">
    <w:name w:val="Objet du commentaire Car"/>
    <w:qFormat/>
    <w:rPr>
      <w:rFonts w:ascii="Times New Roman" w:eastAsia="Times New Roman" w:hAnsi="Times New Roman" w:cs="Times New Roman"/>
      <w:b/>
      <w:bCs/>
      <w:color w:val="000000"/>
      <w:sz w:val="20"/>
      <w:szCs w:val="20"/>
    </w:rPr>
  </w:style>
  <w:style w:type="character" w:customStyle="1" w:styleId="CommentaireCar">
    <w:name w:val="Commentaire Car"/>
    <w:qFormat/>
    <w:rPr>
      <w:rFonts w:ascii="Times New Roman" w:eastAsia="Times New Roman" w:hAnsi="Times New Roman" w:cs="Times New Roman"/>
      <w:color w:val="000000"/>
      <w:sz w:val="20"/>
      <w:szCs w:val="20"/>
    </w:rPr>
  </w:style>
  <w:style w:type="character" w:styleId="Marquedecommentaire">
    <w:name w:val="annotation reference"/>
    <w:qFormat/>
    <w:rPr>
      <w:rFonts w:ascii="Times New Roman" w:eastAsia="Times New Roman" w:hAnsi="Times New Roman" w:cs="Times New Roman"/>
      <w:color w:val="000000"/>
      <w:sz w:val="16"/>
      <w:szCs w:val="16"/>
    </w:rPr>
  </w:style>
  <w:style w:type="character" w:customStyle="1" w:styleId="NotedefinCar">
    <w:name w:val="Note de fin Car"/>
    <w:qFormat/>
    <w:rPr>
      <w:rFonts w:ascii="Times New Roman" w:eastAsia="Times New Roman" w:hAnsi="Times New Roman" w:cs="Times New Roman"/>
      <w:color w:val="000000"/>
      <w:sz w:val="20"/>
      <w:szCs w:val="20"/>
    </w:rPr>
  </w:style>
  <w:style w:type="character" w:customStyle="1" w:styleId="NotedebasdepageCar">
    <w:name w:val="Note de bas de page Car"/>
    <w:qFormat/>
    <w:rPr>
      <w:rFonts w:ascii="Times New Roman" w:eastAsia="Times New Roman" w:hAnsi="Times New Roman" w:cs="Times New Roman"/>
      <w:color w:val="000000"/>
      <w:sz w:val="20"/>
      <w:szCs w:val="20"/>
    </w:rPr>
  </w:style>
  <w:style w:type="character" w:customStyle="1" w:styleId="PieddepageCar">
    <w:name w:val="Pied de page Car"/>
    <w:uiPriority w:val="99"/>
    <w:qFormat/>
    <w:rPr>
      <w:rFonts w:ascii="Times New Roman" w:eastAsia="Times New Roman" w:hAnsi="Times New Roman" w:cs="Times New Roman"/>
      <w:color w:val="000000"/>
      <w:sz w:val="24"/>
      <w:szCs w:val="24"/>
    </w:rPr>
  </w:style>
  <w:style w:type="character" w:customStyle="1" w:styleId="En-tteCar">
    <w:name w:val="En-tête Car"/>
    <w:qFormat/>
    <w:rPr>
      <w:rFonts w:ascii="Times New Roman" w:eastAsia="Times New Roman" w:hAnsi="Times New Roman" w:cs="Times New Roman"/>
      <w:color w:val="000000"/>
      <w:sz w:val="24"/>
      <w:szCs w:val="24"/>
    </w:rPr>
  </w:style>
  <w:style w:type="character" w:styleId="Titredulivre">
    <w:name w:val="Book Title"/>
    <w:qFormat/>
    <w:rPr>
      <w:rFonts w:ascii="Times New Roman" w:eastAsia="Times New Roman" w:hAnsi="Times New Roman" w:cs="Times New Roman"/>
      <w:b/>
      <w:bCs/>
      <w:i/>
      <w:iCs/>
      <w:color w:val="000000"/>
      <w:spacing w:val="5"/>
      <w:sz w:val="24"/>
      <w:szCs w:val="24"/>
    </w:rPr>
  </w:style>
  <w:style w:type="character" w:styleId="Rfrencelgre">
    <w:name w:val="Subtle Reference"/>
    <w:qFormat/>
    <w:rPr>
      <w:rFonts w:ascii="Times New Roman" w:eastAsia="Times New Roman" w:hAnsi="Times New Roman" w:cs="Times New Roman"/>
      <w:smallCaps/>
      <w:color w:val="5A5A5A"/>
      <w:sz w:val="24"/>
      <w:szCs w:val="24"/>
    </w:rPr>
  </w:style>
  <w:style w:type="character" w:styleId="Accentuationlgre">
    <w:name w:val="Subtle Emphasis"/>
    <w:qFormat/>
    <w:rPr>
      <w:rFonts w:ascii="Times New Roman" w:eastAsia="Times New Roman" w:hAnsi="Times New Roman" w:cs="Times New Roman"/>
      <w:i/>
      <w:iCs/>
      <w:color w:val="404040"/>
      <w:sz w:val="24"/>
      <w:szCs w:val="24"/>
    </w:rPr>
  </w:style>
  <w:style w:type="character" w:styleId="Rfrenceintense">
    <w:name w:val="Intense Reference"/>
    <w:qFormat/>
    <w:rPr>
      <w:rFonts w:ascii="Times New Roman" w:eastAsia="Times New Roman" w:hAnsi="Times New Roman" w:cs="Times New Roman"/>
      <w:b/>
      <w:bCs/>
      <w:smallCaps/>
      <w:color w:val="2E74B5"/>
      <w:spacing w:val="5"/>
      <w:sz w:val="24"/>
      <w:szCs w:val="24"/>
    </w:rPr>
  </w:style>
  <w:style w:type="character" w:customStyle="1" w:styleId="CitationintenseCar">
    <w:name w:val="Citation intense Car"/>
    <w:qFormat/>
    <w:rPr>
      <w:rFonts w:ascii="Times New Roman" w:eastAsia="Times New Roman" w:hAnsi="Times New Roman" w:cs="Times New Roman"/>
      <w:i/>
      <w:iCs/>
      <w:color w:val="2E74B5"/>
      <w:sz w:val="24"/>
      <w:szCs w:val="24"/>
    </w:rPr>
  </w:style>
  <w:style w:type="character" w:styleId="Accentuationintense">
    <w:name w:val="Intense Emphasis"/>
    <w:qFormat/>
    <w:rPr>
      <w:rFonts w:ascii="Times New Roman" w:eastAsia="Times New Roman" w:hAnsi="Times New Roman" w:cs="Times New Roman"/>
      <w:i/>
      <w:iCs/>
      <w:color w:val="2E74B5"/>
      <w:sz w:val="24"/>
      <w:szCs w:val="24"/>
    </w:rPr>
  </w:style>
  <w:style w:type="character" w:customStyle="1" w:styleId="CitationCar">
    <w:name w:val="Citation Car"/>
    <w:qFormat/>
    <w:rPr>
      <w:rFonts w:ascii="Times New Roman" w:eastAsia="Times New Roman" w:hAnsi="Times New Roman" w:cs="Times New Roman"/>
      <w:i/>
      <w:iCs/>
      <w:color w:val="404040"/>
      <w:sz w:val="24"/>
      <w:szCs w:val="24"/>
    </w:rPr>
  </w:style>
  <w:style w:type="character" w:customStyle="1" w:styleId="Sous-titreCar">
    <w:name w:val="Sous-titre Car"/>
    <w:qFormat/>
    <w:rPr>
      <w:rFonts w:ascii="Times New Roman" w:eastAsia="Times New Roman" w:hAnsi="Times New Roman" w:cs="Times New Roman"/>
      <w:color w:val="595959"/>
      <w:spacing w:val="15"/>
      <w:sz w:val="28"/>
      <w:szCs w:val="28"/>
    </w:rPr>
  </w:style>
  <w:style w:type="character" w:customStyle="1" w:styleId="TitreCar">
    <w:name w:val="Titre Car"/>
    <w:qFormat/>
    <w:rPr>
      <w:color w:val="000000"/>
      <w:spacing w:val="-10"/>
      <w:sz w:val="56"/>
      <w:szCs w:val="56"/>
    </w:rPr>
  </w:style>
  <w:style w:type="character" w:customStyle="1" w:styleId="Titre9Car">
    <w:name w:val="Titre 9 Car"/>
    <w:qFormat/>
    <w:rPr>
      <w:i/>
      <w:iCs/>
      <w:color w:val="272727"/>
      <w:sz w:val="24"/>
      <w:szCs w:val="24"/>
    </w:rPr>
  </w:style>
  <w:style w:type="character" w:customStyle="1" w:styleId="Titre8Car">
    <w:name w:val="Titre 8 Car"/>
    <w:qFormat/>
    <w:rPr>
      <w:i/>
      <w:iCs/>
      <w:color w:val="272727"/>
      <w:sz w:val="24"/>
      <w:szCs w:val="24"/>
    </w:rPr>
  </w:style>
  <w:style w:type="character" w:customStyle="1" w:styleId="Titre7Car">
    <w:name w:val="Titre 7 Car"/>
    <w:qFormat/>
    <w:rPr>
      <w:color w:val="595959"/>
      <w:sz w:val="24"/>
      <w:szCs w:val="24"/>
    </w:rPr>
  </w:style>
  <w:style w:type="character" w:customStyle="1" w:styleId="Titre6Car">
    <w:name w:val="Titre 6 Car"/>
    <w:qFormat/>
    <w:rPr>
      <w:i/>
      <w:iCs/>
      <w:color w:val="595959"/>
      <w:sz w:val="24"/>
      <w:szCs w:val="24"/>
    </w:rPr>
  </w:style>
  <w:style w:type="character" w:customStyle="1" w:styleId="Titre5Car">
    <w:name w:val="Titre 5 Car"/>
    <w:qFormat/>
    <w:rPr>
      <w:color w:val="2E74B5"/>
      <w:sz w:val="24"/>
      <w:szCs w:val="24"/>
    </w:rPr>
  </w:style>
  <w:style w:type="character" w:customStyle="1" w:styleId="Titre4Car">
    <w:name w:val="Titre 4 Car"/>
    <w:qFormat/>
    <w:rPr>
      <w:i/>
      <w:iCs/>
      <w:color w:val="2E74B5"/>
      <w:sz w:val="24"/>
      <w:szCs w:val="24"/>
    </w:rPr>
  </w:style>
  <w:style w:type="character" w:customStyle="1" w:styleId="Titre3Car">
    <w:name w:val="Titre 3 Car"/>
    <w:qFormat/>
    <w:rPr>
      <w:color w:val="2E74B5"/>
      <w:sz w:val="28"/>
      <w:szCs w:val="28"/>
    </w:rPr>
  </w:style>
  <w:style w:type="character" w:customStyle="1" w:styleId="Titre2Car">
    <w:name w:val="Titre 2 Car"/>
    <w:qFormat/>
    <w:rPr>
      <w:color w:val="2E74B5"/>
      <w:sz w:val="32"/>
      <w:szCs w:val="32"/>
    </w:rPr>
  </w:style>
  <w:style w:type="character" w:customStyle="1" w:styleId="Titre1Car">
    <w:name w:val="Titre 1 Car"/>
    <w:qFormat/>
    <w:rPr>
      <w:color w:val="2E74B5"/>
      <w:sz w:val="40"/>
      <w:szCs w:val="40"/>
    </w:rPr>
  </w:style>
  <w:style w:type="character" w:customStyle="1" w:styleId="Caractresdenotedefin">
    <w:name w:val="Caractères de note de fin"/>
    <w:qFormat/>
  </w:style>
  <w:style w:type="character" w:styleId="Appeldenotedefin">
    <w:name w:val="endnote reference"/>
    <w:rPr>
      <w:vertAlign w:val="superscript"/>
    </w:rPr>
  </w:style>
  <w:style w:type="character" w:styleId="Accentuation">
    <w:name w:val="Emphasis"/>
    <w:qFormat/>
    <w:rPr>
      <w:i/>
      <w:iCs/>
    </w:rPr>
  </w:style>
  <w:style w:type="paragraph" w:styleId="Titre">
    <w:name w:val="Title"/>
    <w:basedOn w:val="Normal"/>
    <w:next w:val="Corpsdetexte"/>
    <w:uiPriority w:val="10"/>
    <w:qFormat/>
    <w:pPr>
      <w:jc w:val="center"/>
    </w:pPr>
    <w:rPr>
      <w:b/>
      <w:bCs/>
      <w:sz w:val="56"/>
      <w:szCs w:val="56"/>
    </w:rPr>
  </w:style>
  <w:style w:type="paragraph" w:styleId="Corpsdetexte">
    <w:name w:val="Body Text"/>
    <w:basedOn w:val="Normal"/>
    <w:pPr>
      <w:spacing w:after="140"/>
    </w:pPr>
  </w:style>
  <w:style w:type="paragraph" w:styleId="Liste">
    <w:name w:val="List"/>
    <w:basedOn w:val="Corpsdetexte"/>
  </w:style>
  <w:style w:type="paragraph" w:styleId="Lgende">
    <w:name w:val="caption"/>
    <w:basedOn w:val="Normal"/>
    <w:qFormat/>
    <w:pPr>
      <w:suppressLineNumbers/>
      <w:spacing w:before="120" w:after="120"/>
    </w:pPr>
    <w:rPr>
      <w:i/>
      <w:iCs/>
      <w:sz w:val="24"/>
    </w:rPr>
  </w:style>
  <w:style w:type="paragraph" w:customStyle="1" w:styleId="Index">
    <w:name w:val="Index"/>
    <w:basedOn w:val="Normal"/>
    <w:qFormat/>
    <w:pPr>
      <w:suppressLineNumbers/>
    </w:pPr>
  </w:style>
  <w:style w:type="paragraph" w:customStyle="1" w:styleId="TableParagraph">
    <w:name w:val="Table Paragraph"/>
    <w:basedOn w:val="Normal"/>
    <w:qFormat/>
    <w:pPr>
      <w:spacing w:line="261" w:lineRule="exact"/>
      <w:jc w:val="right"/>
    </w:pPr>
    <w:rPr>
      <w:rFonts w:ascii="Liberation Sans" w:eastAsia="Liberation Sans" w:hAnsi="Liberation Sans" w:cs="Liberation Sans"/>
      <w:lang w:eastAsia="en-US" w:bidi="ar-SA"/>
    </w:rPr>
  </w:style>
  <w:style w:type="paragraph" w:styleId="Titreindex">
    <w:name w:val="index heading"/>
    <w:basedOn w:val="Normal"/>
    <w:pPr>
      <w:suppressLineNumbers/>
    </w:pPr>
    <w:rPr>
      <w:b/>
      <w:bCs/>
      <w:sz w:val="32"/>
      <w:szCs w:val="32"/>
    </w:rPr>
  </w:style>
  <w:style w:type="paragraph" w:styleId="En-ttedetabledesmatires">
    <w:name w:val="TOC Heading"/>
    <w:basedOn w:val="Normal"/>
    <w:uiPriority w:val="39"/>
    <w:qFormat/>
    <w:pPr>
      <w:suppressLineNumbers/>
    </w:pPr>
    <w:rPr>
      <w:b/>
      <w:bCs/>
      <w:sz w:val="32"/>
      <w:szCs w:val="32"/>
    </w:rPr>
  </w:style>
  <w:style w:type="paragraph" w:styleId="TM1">
    <w:name w:val="toc 1"/>
    <w:basedOn w:val="Index"/>
    <w:uiPriority w:val="39"/>
    <w:pPr>
      <w:suppressLineNumbers w:val="0"/>
      <w:spacing w:before="120" w:after="120"/>
    </w:pPr>
    <w:rPr>
      <w:rFonts w:asciiTheme="minorHAnsi" w:hAnsiTheme="minorHAnsi" w:cstheme="minorHAnsi"/>
      <w:b/>
      <w:bCs/>
      <w:caps/>
      <w:sz w:val="20"/>
      <w:szCs w:val="20"/>
    </w:rPr>
  </w:style>
  <w:style w:type="paragraph" w:styleId="TM2">
    <w:name w:val="toc 2"/>
    <w:basedOn w:val="Index"/>
    <w:uiPriority w:val="39"/>
    <w:pPr>
      <w:suppressLineNumbers w:val="0"/>
      <w:ind w:left="220"/>
    </w:pPr>
    <w:rPr>
      <w:rFonts w:asciiTheme="minorHAnsi" w:hAnsiTheme="minorHAnsi" w:cstheme="minorHAnsi"/>
      <w:smallCaps/>
      <w:sz w:val="20"/>
      <w:szCs w:val="20"/>
    </w:rPr>
  </w:style>
  <w:style w:type="paragraph" w:styleId="TM3">
    <w:name w:val="toc 3"/>
    <w:basedOn w:val="Index"/>
    <w:uiPriority w:val="39"/>
    <w:pPr>
      <w:suppressLineNumbers w:val="0"/>
      <w:ind w:left="440"/>
    </w:pPr>
    <w:rPr>
      <w:rFonts w:asciiTheme="minorHAnsi" w:hAnsiTheme="minorHAnsi" w:cstheme="minorHAnsi"/>
      <w:i/>
      <w:iCs/>
      <w:sz w:val="20"/>
      <w:szCs w:val="20"/>
    </w:rPr>
  </w:style>
  <w:style w:type="paragraph" w:styleId="Sous-titre">
    <w:name w:val="Subtitle"/>
    <w:basedOn w:val="Normal"/>
    <w:next w:val="Corpsdetexte"/>
    <w:uiPriority w:val="11"/>
    <w:qFormat/>
    <w:pPr>
      <w:spacing w:before="60" w:after="120"/>
      <w:jc w:val="center"/>
    </w:pPr>
    <w:rPr>
      <w:sz w:val="36"/>
      <w:szCs w:val="36"/>
    </w:rPr>
  </w:style>
  <w:style w:type="paragraph" w:customStyle="1" w:styleId="En-tteetpieddepage">
    <w:name w:val="En-tête et pied de page"/>
    <w:basedOn w:val="Normal"/>
    <w:qFormat/>
    <w:pPr>
      <w:suppressLineNumbers/>
      <w:tabs>
        <w:tab w:val="center" w:pos="4819"/>
        <w:tab w:val="right" w:pos="9638"/>
      </w:tabs>
    </w:pPr>
  </w:style>
  <w:style w:type="paragraph" w:styleId="Pieddepage">
    <w:name w:val="footer"/>
    <w:basedOn w:val="En-tteetpieddepage"/>
    <w:uiPriority w:val="99"/>
  </w:style>
  <w:style w:type="paragraph" w:customStyle="1" w:styleId="Contenudetableau">
    <w:name w:val="Contenu de tableau"/>
    <w:basedOn w:val="Normal"/>
    <w:qFormat/>
    <w:pPr>
      <w:widowControl w:val="0"/>
      <w:suppressLineNumbers/>
    </w:pPr>
  </w:style>
  <w:style w:type="paragraph" w:customStyle="1" w:styleId="Titredetableau">
    <w:name w:val="Titre de tableau"/>
    <w:basedOn w:val="Contenudetableau"/>
    <w:qFormat/>
    <w:pPr>
      <w:jc w:val="center"/>
    </w:pPr>
    <w:rPr>
      <w:b/>
      <w:bCs/>
    </w:rPr>
  </w:style>
  <w:style w:type="paragraph" w:customStyle="1" w:styleId="paragraphedanstableau">
    <w:name w:val="paragraphe dans tableau"/>
    <w:basedOn w:val="Normal"/>
    <w:qFormat/>
    <w:pPr>
      <w:spacing w:line="240" w:lineRule="auto"/>
    </w:pPr>
  </w:style>
  <w:style w:type="paragraph" w:styleId="Notedebasdepage">
    <w:name w:val="footnote text"/>
    <w:basedOn w:val="Normal"/>
    <w:pPr>
      <w:suppressLineNumbers/>
      <w:ind w:left="340" w:hanging="340"/>
    </w:pPr>
    <w:rPr>
      <w:sz w:val="20"/>
      <w:szCs w:val="20"/>
    </w:rPr>
  </w:style>
  <w:style w:type="paragraph" w:styleId="Paragraphedeliste">
    <w:name w:val="List Paragraph"/>
    <w:basedOn w:val="Normal"/>
    <w:qFormat/>
    <w:pPr>
      <w:spacing w:after="200"/>
      <w:ind w:left="720"/>
      <w:contextualSpacing/>
    </w:pPr>
  </w:style>
  <w:style w:type="paragraph" w:customStyle="1" w:styleId="Texteprformat">
    <w:name w:val="Texte préformaté"/>
    <w:basedOn w:val="Normal"/>
    <w:qFormat/>
    <w:rPr>
      <w:rFonts w:ascii="Liberation Mono" w:eastAsia="Liberation Mono" w:hAnsi="Liberation Mono" w:cs="Liberation Mono"/>
      <w:sz w:val="20"/>
      <w:szCs w:val="20"/>
    </w:rPr>
  </w:style>
  <w:style w:type="paragraph" w:customStyle="1" w:styleId="Contenudeliste">
    <w:name w:val="Contenu de liste"/>
    <w:basedOn w:val="Normal"/>
    <w:qFormat/>
    <w:pPr>
      <w:ind w:left="567"/>
    </w:pPr>
  </w:style>
  <w:style w:type="numbering" w:customStyle="1" w:styleId="Numrotation123">
    <w:name w:val="Numérotation 123"/>
    <w:qFormat/>
  </w:style>
  <w:style w:type="table" w:styleId="Grilledutableau">
    <w:name w:val="Table Grid"/>
    <w:basedOn w:val="TableauNormal"/>
    <w:uiPriority w:val="39"/>
    <w:rsid w:val="003C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4">
    <w:name w:val="toc 4"/>
    <w:basedOn w:val="Normal"/>
    <w:next w:val="Normal"/>
    <w:autoRedefine/>
    <w:uiPriority w:val="39"/>
    <w:unhideWhenUsed/>
    <w:rsid w:val="00FB4A2C"/>
    <w:pPr>
      <w:ind w:left="660"/>
    </w:pPr>
    <w:rPr>
      <w:rFonts w:asciiTheme="minorHAnsi" w:hAnsiTheme="minorHAnsi" w:cstheme="minorHAnsi"/>
      <w:sz w:val="18"/>
      <w:szCs w:val="18"/>
    </w:rPr>
  </w:style>
  <w:style w:type="paragraph" w:styleId="TM5">
    <w:name w:val="toc 5"/>
    <w:basedOn w:val="Normal"/>
    <w:next w:val="Normal"/>
    <w:autoRedefine/>
    <w:uiPriority w:val="39"/>
    <w:unhideWhenUsed/>
    <w:rsid w:val="00FB4A2C"/>
    <w:pPr>
      <w:ind w:left="880"/>
    </w:pPr>
    <w:rPr>
      <w:rFonts w:asciiTheme="minorHAnsi" w:hAnsiTheme="minorHAnsi" w:cstheme="minorHAnsi"/>
      <w:sz w:val="18"/>
      <w:szCs w:val="18"/>
    </w:rPr>
  </w:style>
  <w:style w:type="paragraph" w:styleId="TM6">
    <w:name w:val="toc 6"/>
    <w:basedOn w:val="Normal"/>
    <w:next w:val="Normal"/>
    <w:autoRedefine/>
    <w:uiPriority w:val="39"/>
    <w:unhideWhenUsed/>
    <w:rsid w:val="00FB4A2C"/>
    <w:pPr>
      <w:ind w:left="1100"/>
    </w:pPr>
    <w:rPr>
      <w:rFonts w:asciiTheme="minorHAnsi" w:hAnsiTheme="minorHAnsi" w:cstheme="minorHAnsi"/>
      <w:sz w:val="18"/>
      <w:szCs w:val="18"/>
    </w:rPr>
  </w:style>
  <w:style w:type="paragraph" w:styleId="TM7">
    <w:name w:val="toc 7"/>
    <w:basedOn w:val="Normal"/>
    <w:next w:val="Normal"/>
    <w:autoRedefine/>
    <w:uiPriority w:val="39"/>
    <w:unhideWhenUsed/>
    <w:rsid w:val="00FB4A2C"/>
    <w:pPr>
      <w:ind w:left="1320"/>
    </w:pPr>
    <w:rPr>
      <w:rFonts w:asciiTheme="minorHAnsi" w:hAnsiTheme="minorHAnsi" w:cstheme="minorHAnsi"/>
      <w:sz w:val="18"/>
      <w:szCs w:val="18"/>
    </w:rPr>
  </w:style>
  <w:style w:type="paragraph" w:styleId="TM8">
    <w:name w:val="toc 8"/>
    <w:basedOn w:val="Normal"/>
    <w:next w:val="Normal"/>
    <w:autoRedefine/>
    <w:uiPriority w:val="39"/>
    <w:unhideWhenUsed/>
    <w:rsid w:val="00FB4A2C"/>
    <w:pPr>
      <w:ind w:left="1540"/>
    </w:pPr>
    <w:rPr>
      <w:rFonts w:asciiTheme="minorHAnsi" w:hAnsiTheme="minorHAnsi" w:cstheme="minorHAnsi"/>
      <w:sz w:val="18"/>
      <w:szCs w:val="18"/>
    </w:rPr>
  </w:style>
  <w:style w:type="paragraph" w:styleId="TM9">
    <w:name w:val="toc 9"/>
    <w:basedOn w:val="Normal"/>
    <w:next w:val="Normal"/>
    <w:autoRedefine/>
    <w:uiPriority w:val="39"/>
    <w:unhideWhenUsed/>
    <w:rsid w:val="00FB4A2C"/>
    <w:pPr>
      <w:ind w:left="1760"/>
    </w:pPr>
    <w:rPr>
      <w:rFonts w:asciiTheme="minorHAnsi" w:hAnsiTheme="minorHAnsi" w:cstheme="minorHAnsi"/>
      <w:sz w:val="18"/>
      <w:szCs w:val="18"/>
    </w:rPr>
  </w:style>
  <w:style w:type="paragraph" w:styleId="En-tte">
    <w:name w:val="header"/>
    <w:basedOn w:val="Normal"/>
    <w:link w:val="En-tteCar1"/>
    <w:uiPriority w:val="99"/>
    <w:unhideWhenUsed/>
    <w:rsid w:val="00AE1C8E"/>
    <w:pPr>
      <w:tabs>
        <w:tab w:val="center" w:pos="4536"/>
        <w:tab w:val="right" w:pos="9072"/>
      </w:tabs>
      <w:spacing w:line="240" w:lineRule="auto"/>
    </w:pPr>
    <w:rPr>
      <w:rFonts w:cs="Mangal"/>
    </w:rPr>
  </w:style>
  <w:style w:type="character" w:customStyle="1" w:styleId="En-tteCar1">
    <w:name w:val="En-tête Car1"/>
    <w:basedOn w:val="Policepardfaut"/>
    <w:link w:val="En-tte"/>
    <w:uiPriority w:val="99"/>
    <w:rsid w:val="00AE1C8E"/>
    <w:rPr>
      <w:rFonts w:ascii="Marianne" w:hAnsi="Marianne" w:cs="Mang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univ-lille.fr/universite/fiche-didentite" TargetMode="External"/><Relationship Id="rId18" Type="http://schemas.openxmlformats.org/officeDocument/2006/relationships/hyperlink" Target="https://www.univ-lille.fr/accessibilit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accessibilite.numerique.gouv.fr/" TargetMode="External"/><Relationship Id="rId17" Type="http://schemas.openxmlformats.org/officeDocument/2006/relationships/hyperlink" Target="https://pod.univ-lille.fr/accessibility/" TargetMode="External"/><Relationship Id="rId2" Type="http://schemas.openxmlformats.org/officeDocument/2006/relationships/numbering" Target="numbering.xml"/><Relationship Id="rId16" Type="http://schemas.openxmlformats.org/officeDocument/2006/relationships/hyperlink" Target="https://training.contentsquare-foundation.org/hom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codes/article_lc/LEGIARTI000033024104" TargetMode="External"/><Relationship Id="rId5" Type="http://schemas.openxmlformats.org/officeDocument/2006/relationships/webSettings" Target="webSettings.xml"/><Relationship Id="rId15" Type="http://schemas.openxmlformats.org/officeDocument/2006/relationships/hyperlink" Target="https://jive.univ-lille.fr/decouverte-de-luniversite/lilu-lapplication-etudiante" TargetMode="External"/><Relationship Id="rId10" Type="http://schemas.openxmlformats.org/officeDocument/2006/relationships/hyperlink" Target="https://www.legifrance.gouv.fr/jorf/article_jo/JORFARTI000033203504"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legifrance.gouv.fr/loda/article_lc/LEGIARTI000037388867/" TargetMode="External"/><Relationship Id="rId14" Type="http://schemas.openxmlformats.org/officeDocument/2006/relationships/hyperlink" Target="https://accessibilite.public.lu/fr/tools/cahier-des-charges.html" TargetMode="Externa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780FE-711D-4096-A3BC-035F784E1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21</Pages>
  <Words>5778</Words>
  <Characters>31785</Characters>
  <Application>Microsoft Office Word</Application>
  <DocSecurity>0</DocSecurity>
  <Lines>264</Lines>
  <Paragraphs>74</Paragraphs>
  <ScaleCrop>false</ScaleCrop>
  <HeadingPairs>
    <vt:vector size="2" baseType="variant">
      <vt:variant>
        <vt:lpstr>Titre</vt:lpstr>
      </vt:variant>
      <vt:variant>
        <vt:i4>1</vt:i4>
      </vt:variant>
    </vt:vector>
  </HeadingPairs>
  <TitlesOfParts>
    <vt:vector size="1" baseType="lpstr">
      <vt:lpstr>Schéma pluriannuel d'accessibilité numérique (SPAN)</vt:lpstr>
    </vt:vector>
  </TitlesOfParts>
  <Company/>
  <LinksUpToDate>false</LinksUpToDate>
  <CharactersWithSpaces>37489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Schéma pluriannuel d'accessibilité numérique (SPAN)</dc:title>
  <dc:subject/>
  <dc:creator>Laurence Vlieghe;Nicolas LAHOCHE</dc:creator>
  <cp:keywords>SPAN</cp:keywords>
  <dc:description>V1</dc:description>
  <cp:lastModifiedBy>Laurence Vlieghe</cp:lastModifiedBy>
  <cp:revision>4</cp:revision>
  <cp:lastPrinted>2025-09-08T16:01:00Z</cp:lastPrinted>
  <dcterms:created xsi:type="dcterms:W3CDTF">2025-11-19T15:33:00Z</dcterms:created>
  <dcterms:modified xsi:type="dcterms:W3CDTF">2025-11-19T15:41:00Z</dcterms:modified>
  <dc:language>fr-FR</dc:language>
</cp:coreProperties>
</file>